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4F" w:rsidRDefault="005B521B" w:rsidP="00BE41D7">
      <w:pPr>
        <w:spacing w:line="360" w:lineRule="auto"/>
        <w:jc w:val="center"/>
        <w:rPr>
          <w:rFonts w:ascii="仿宋" w:eastAsia="仿宋" w:hAnsi="仿宋" w:cs="仿宋"/>
          <w:b/>
          <w:color w:val="000000"/>
          <w:kern w:val="44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44"/>
          <w:sz w:val="32"/>
          <w:szCs w:val="32"/>
        </w:rPr>
        <w:t>高级复苏</w:t>
      </w:r>
      <w:r>
        <w:rPr>
          <w:rFonts w:ascii="仿宋" w:eastAsia="仿宋" w:hAnsi="仿宋" w:cs="仿宋" w:hint="eastAsia"/>
          <w:b/>
          <w:color w:val="000000"/>
          <w:kern w:val="44"/>
          <w:sz w:val="32"/>
          <w:szCs w:val="32"/>
          <w:lang w:eastAsia="zh-Hans"/>
        </w:rPr>
        <w:t>模拟人</w:t>
      </w:r>
      <w:r>
        <w:rPr>
          <w:rFonts w:ascii="仿宋" w:eastAsia="仿宋" w:hAnsi="仿宋" w:cs="仿宋" w:hint="eastAsia"/>
          <w:b/>
          <w:color w:val="000000"/>
          <w:kern w:val="44"/>
          <w:sz w:val="32"/>
          <w:szCs w:val="32"/>
        </w:rPr>
        <w:t>项目设备</w:t>
      </w:r>
      <w:r w:rsidR="00390C4F">
        <w:rPr>
          <w:rFonts w:ascii="仿宋" w:eastAsia="仿宋" w:hAnsi="仿宋" w:cs="仿宋" w:hint="eastAsia"/>
          <w:b/>
          <w:color w:val="000000"/>
          <w:kern w:val="44"/>
          <w:sz w:val="32"/>
          <w:szCs w:val="32"/>
        </w:rPr>
        <w:t>采购</w:t>
      </w:r>
      <w:r w:rsidR="00390C4F">
        <w:rPr>
          <w:rFonts w:ascii="仿宋" w:eastAsia="仿宋" w:hAnsi="仿宋" w:cs="仿宋"/>
          <w:b/>
          <w:color w:val="000000"/>
          <w:kern w:val="44"/>
          <w:sz w:val="32"/>
          <w:szCs w:val="32"/>
        </w:rPr>
        <w:t>需求</w:t>
      </w:r>
    </w:p>
    <w:p w:rsidR="00B46DA7" w:rsidRDefault="00B46DA7">
      <w:pPr>
        <w:spacing w:line="360" w:lineRule="auto"/>
        <w:rPr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6"/>
        <w:gridCol w:w="7584"/>
      </w:tblGrid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一</w:t>
            </w:r>
          </w:p>
        </w:tc>
        <w:tc>
          <w:tcPr>
            <w:tcW w:w="7584" w:type="dxa"/>
            <w:vAlign w:val="center"/>
          </w:tcPr>
          <w:p w:rsidR="00B46DA7" w:rsidRDefault="00390C4F">
            <w:pPr>
              <w:pStyle w:val="1"/>
              <w:spacing w:line="360" w:lineRule="auto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  <w:lang w:eastAsia="zh-Hans"/>
              </w:rPr>
              <w:t>技术参数</w:t>
            </w:r>
          </w:p>
        </w:tc>
      </w:tr>
      <w:tr w:rsidR="00B46DA7">
        <w:trPr>
          <w:trHeight w:val="950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模拟人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提供高素质高级技能培训，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提供高质量团队与各种 ALS 病例中的训练技能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能够使用真实除颤器和模型轻量化结构，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可提供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现场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急救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培训解决方案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</w:p>
        </w:tc>
      </w:tr>
      <w:tr w:rsidR="00B46DA7">
        <w:trPr>
          <w:trHeight w:val="1029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模拟人需具有</w:t>
            </w:r>
            <w:r>
              <w:rPr>
                <w:rFonts w:ascii="宋体" w:eastAsia="宋体" w:hAnsi="宋体" w:cs="宋体" w:hint="eastAsia"/>
                <w:szCs w:val="24"/>
              </w:rPr>
              <w:t>成年人体格外观，皮肤为高分子塑胶，主体结构为金属和聚碳酸酯，皮肤及组织的触摸感需接近正常人体的触摸感，需有明确的胸部骨性标志；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使用声门上气道装置进行高质量的气道管理；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实时除颤 (ShockLink) 和同步心电图；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5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脉搏监测；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6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静脉注射；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7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质量CPR (QCPR)反馈以衡量和提高CPR 性能；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气道培训技能: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当进行正确的按额托颚/下颌上提手法时，可被感应器自动记录；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环状软骨加压(Sellick Maneuver)；</w:t>
            </w:r>
          </w:p>
        </w:tc>
      </w:tr>
      <w:tr w:rsidR="00B46DA7">
        <w:trPr>
          <w:trHeight w:val="63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自动产生的颈动脉与心电图同步，在培训中可作逼真的脉搏检查练习。系统可自动记录脉搏检查过程；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口咽和鼻咽通气；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8.5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复苏球通气；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8.6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喉罩(LMA)通气；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8.6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复合管通气；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8.8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可进行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喉管气道；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9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瞳孔：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lastRenderedPageBreak/>
              <w:t>9.1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正常；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9.2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收缩；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9.3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扩大；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10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静注手臂；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10.1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静注手臂提供静脉注射的练习；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身体</w:t>
            </w:r>
            <w:r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执行除颤 (能量25 -360 J)；</w:t>
            </w:r>
          </w:p>
        </w:tc>
      </w:tr>
      <w:tr w:rsidR="00B46DA7">
        <w:trPr>
          <w:trHeight w:val="63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11.2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需具体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4个3导联心电图的接口</w:t>
            </w:r>
            <w:r>
              <w:rPr>
                <w:rFonts w:ascii="宋体" w:eastAsia="宋体" w:hAnsi="宋体" w:cs="宋体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让学生在培训中熟练3导联心电图监察的技巧；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11.3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同步变更心率，心律，异常状态及其持续时间；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11.4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编程等候心律；</w:t>
            </w:r>
          </w:p>
        </w:tc>
      </w:tr>
      <w:tr w:rsidR="00B46DA7">
        <w:trPr>
          <w:trHeight w:val="950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★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模拟人操作软件评估系统功能，不需要额外设备，评估系统需包括评估软件。系统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将学员日志、病人监护仪数据结合至1个独立的评估文件里进行运作；</w:t>
            </w:r>
          </w:p>
        </w:tc>
      </w:tr>
      <w:tr w:rsidR="00B46DA7">
        <w:trPr>
          <w:trHeight w:val="63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模拟人可以通过自身感应器自动生成日志记录，时间显示上带有秒表功能；</w:t>
            </w:r>
          </w:p>
        </w:tc>
      </w:tr>
      <w:tr w:rsidR="00B46DA7">
        <w:trPr>
          <w:trHeight w:val="63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hint="eastAsia"/>
                <w:bCs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评估报告内容包括模拟人的生命体征参数、学员操作记录、监护仪界面回放。评估这些内容时，在时间上能够完全一一对应；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15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配置要求</w:t>
            </w:r>
            <w:r>
              <w:rPr>
                <w:rFonts w:ascii="宋体" w:eastAsia="宋体" w:hAnsi="宋体" w:cs="宋体"/>
                <w:szCs w:val="24"/>
                <w:lang w:eastAsia="zh-Hans"/>
              </w:rPr>
              <w:t>：</w:t>
            </w:r>
          </w:p>
        </w:tc>
      </w:tr>
      <w:tr w:rsidR="00B46DA7">
        <w:trPr>
          <w:trHeight w:val="406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15.1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eastAsia="宋体" w:hAnsi="宋体" w:cs="宋体"/>
                <w:b/>
                <w:bCs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模拟人*1</w:t>
            </w:r>
          </w:p>
        </w:tc>
      </w:tr>
      <w:tr w:rsidR="00B46DA7">
        <w:trPr>
          <w:trHeight w:val="418"/>
        </w:trPr>
        <w:tc>
          <w:tcPr>
            <w:tcW w:w="936" w:type="dxa"/>
            <w:vAlign w:val="center"/>
          </w:tcPr>
          <w:p w:rsidR="00B46DA7" w:rsidRDefault="005B521B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4"/>
                <w:lang w:eastAsia="zh-Hans"/>
              </w:rPr>
              <w:t>15.2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模拟病人包装箱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个</w:t>
            </w:r>
          </w:p>
        </w:tc>
      </w:tr>
    </w:tbl>
    <w:p w:rsidR="00B46DA7" w:rsidRDefault="00B46DA7">
      <w:pPr>
        <w:rPr>
          <w:sz w:val="28"/>
          <w:szCs w:val="32"/>
        </w:rPr>
      </w:pPr>
    </w:p>
    <w:tbl>
      <w:tblPr>
        <w:tblStyle w:val="a9"/>
        <w:tblW w:w="8539" w:type="dxa"/>
        <w:tblLook w:val="04A0" w:firstRow="1" w:lastRow="0" w:firstColumn="1" w:lastColumn="0" w:noHBand="0" w:noVBand="1"/>
      </w:tblPr>
      <w:tblGrid>
        <w:gridCol w:w="955"/>
        <w:gridCol w:w="7584"/>
      </w:tblGrid>
      <w:tr w:rsidR="00B46DA7">
        <w:trPr>
          <w:trHeight w:val="554"/>
        </w:trPr>
        <w:tc>
          <w:tcPr>
            <w:tcW w:w="955" w:type="dxa"/>
            <w:vAlign w:val="center"/>
          </w:tcPr>
          <w:p w:rsidR="00B46DA7" w:rsidRDefault="00390C4F">
            <w:pPr>
              <w:pStyle w:val="1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4"/>
              </w:rPr>
              <w:t>二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商务条款、售后服务</w:t>
            </w:r>
          </w:p>
        </w:tc>
      </w:tr>
      <w:tr w:rsidR="00B46DA7">
        <w:trPr>
          <w:trHeight w:val="554"/>
        </w:trPr>
        <w:tc>
          <w:tcPr>
            <w:tcW w:w="955" w:type="dxa"/>
            <w:vAlign w:val="center"/>
          </w:tcPr>
          <w:p w:rsidR="00B46DA7" w:rsidRDefault="005B521B" w:rsidP="00390C4F">
            <w:pPr>
              <w:pStyle w:val="1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pStyle w:val="1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交货期：签订合同后20天内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1"/>
              </w:rPr>
              <w:t>2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质保期≥ 1年，终身维修，质保期满后，只收配件成本费，不收工时</w:t>
            </w:r>
            <w:r>
              <w:rPr>
                <w:rFonts w:ascii="宋体" w:hAnsi="宋体" w:hint="eastAsia"/>
                <w:sz w:val="24"/>
                <w:szCs w:val="21"/>
              </w:rPr>
              <w:lastRenderedPageBreak/>
              <w:t>费、差旅费；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3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tabs>
                <w:tab w:val="center" w:pos="2757"/>
              </w:tabs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响应时间：2小时内回复，24小时内到现场；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4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提供所投产品的（含技术参数）彩色样本；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5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提供中文操作手册及维修手册；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6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提供操作培训计划；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7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提供工程师维护培训方案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8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提供产品质量保证承诺书；</w:t>
            </w:r>
          </w:p>
        </w:tc>
      </w:tr>
      <w:tr w:rsidR="00B46DA7">
        <w:trPr>
          <w:trHeight w:val="91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9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提供有效的医疗器械注册证、产品代理授权书、医疗器械经营企业许可证或生产企业许可证等证件；</w:t>
            </w:r>
          </w:p>
        </w:tc>
      </w:tr>
      <w:tr w:rsidR="00B46DA7">
        <w:trPr>
          <w:trHeight w:val="477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10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提供详细标准配置清单及报价；</w:t>
            </w:r>
          </w:p>
        </w:tc>
      </w:tr>
      <w:tr w:rsidR="00B46DA7">
        <w:trPr>
          <w:trHeight w:val="511"/>
        </w:trPr>
        <w:tc>
          <w:tcPr>
            <w:tcW w:w="955" w:type="dxa"/>
            <w:vAlign w:val="center"/>
          </w:tcPr>
          <w:p w:rsidR="00B46DA7" w:rsidRDefault="005B521B">
            <w:pPr>
              <w:spacing w:line="36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11</w:t>
            </w:r>
          </w:p>
        </w:tc>
        <w:tc>
          <w:tcPr>
            <w:tcW w:w="7584" w:type="dxa"/>
            <w:vAlign w:val="center"/>
          </w:tcPr>
          <w:p w:rsidR="00B46DA7" w:rsidRDefault="005B521B">
            <w:pPr>
              <w:spacing w:line="50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提供主要配件及易耗易损件报价单和最低扣率；</w:t>
            </w:r>
          </w:p>
        </w:tc>
      </w:tr>
    </w:tbl>
    <w:p w:rsidR="00B46DA7" w:rsidRPr="005F50F5" w:rsidRDefault="005F50F5">
      <w:pPr>
        <w:rPr>
          <w:sz w:val="28"/>
          <w:szCs w:val="32"/>
        </w:rPr>
      </w:pPr>
      <w:r>
        <w:rPr>
          <w:rFonts w:hint="eastAsia"/>
          <w:bCs/>
          <w:sz w:val="24"/>
          <w:szCs w:val="24"/>
        </w:rPr>
        <w:t>（备注：“★”为实质性响应项目，如不满足则该投标人直接废标；加“▲”的为重要响应指标，不满足重点扣分）</w:t>
      </w:r>
    </w:p>
    <w:p w:rsidR="00B46DA7" w:rsidRDefault="00B46DA7">
      <w:pPr>
        <w:rPr>
          <w:sz w:val="28"/>
          <w:szCs w:val="32"/>
        </w:rPr>
      </w:pPr>
    </w:p>
    <w:sectPr w:rsidR="00B46DA7">
      <w:footerReference w:type="default" r:id="rId7"/>
      <w:pgSz w:w="11906" w:h="16838"/>
      <w:pgMar w:top="1327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0C" w:rsidRDefault="00773E0C">
      <w:r>
        <w:separator/>
      </w:r>
    </w:p>
  </w:endnote>
  <w:endnote w:type="continuationSeparator" w:id="0">
    <w:p w:rsidR="00773E0C" w:rsidRDefault="0077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A7" w:rsidRDefault="005B521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6DA7" w:rsidRDefault="005B521B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C61A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46DA7" w:rsidRDefault="005B521B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C61A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0C" w:rsidRDefault="00773E0C">
      <w:r>
        <w:separator/>
      </w:r>
    </w:p>
  </w:footnote>
  <w:footnote w:type="continuationSeparator" w:id="0">
    <w:p w:rsidR="00773E0C" w:rsidRDefault="0077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ZWQ3MmQwNzBlNGU0MTFhY2M3MDVhYTAyNjQ1YTQifQ=="/>
  </w:docVars>
  <w:rsids>
    <w:rsidRoot w:val="EBD9AE15"/>
    <w:rsid w:val="EBD9AE15"/>
    <w:rsid w:val="00390C4F"/>
    <w:rsid w:val="00435EFA"/>
    <w:rsid w:val="005B521B"/>
    <w:rsid w:val="005F50F5"/>
    <w:rsid w:val="00773E0C"/>
    <w:rsid w:val="007C61AF"/>
    <w:rsid w:val="00B46DA7"/>
    <w:rsid w:val="00BE41D7"/>
    <w:rsid w:val="00D77CE5"/>
    <w:rsid w:val="032B5618"/>
    <w:rsid w:val="1FC61713"/>
    <w:rsid w:val="2F257A61"/>
    <w:rsid w:val="3CB5403A"/>
    <w:rsid w:val="7BFD9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0AC9E7-ACAF-47E8-9336-9149DCD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oa heading" w:semiHidden="1" w:qFormat="1"/>
    <w:lsdException w:name="Title" w:qFormat="1"/>
    <w:lsdException w:name="Default Paragraph Font" w:semiHidden="1" w:qFormat="1"/>
    <w:lsdException w:name="Body Text" w:uiPriority="99" w:unhideWhenUsed="1"/>
    <w:lsdException w:name="Body Text Indent" w:uiPriority="99" w:unhideWhenUsed="1"/>
    <w:lsdException w:name="Subtitle" w:qFormat="1"/>
    <w:lsdException w:name="Body Text First Indent" w:unhideWhenUsed="1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unhideWhenUsed/>
    <w:qFormat/>
    <w:pPr>
      <w:spacing w:after="120"/>
      <w:ind w:leftChars="200" w:left="420" w:firstLine="420"/>
    </w:pPr>
    <w:rPr>
      <w:rFonts w:cs="宋体"/>
      <w:sz w:val="21"/>
      <w:szCs w:val="21"/>
    </w:rPr>
  </w:style>
  <w:style w:type="paragraph" w:styleId="a3">
    <w:name w:val="Body Text Indent"/>
    <w:basedOn w:val="a"/>
    <w:next w:val="a"/>
    <w:uiPriority w:val="99"/>
    <w:unhideWhenUsed/>
    <w:pPr>
      <w:ind w:left="480" w:hangingChars="200" w:hanging="480"/>
    </w:pPr>
    <w:rPr>
      <w:sz w:val="24"/>
      <w:szCs w:val="24"/>
    </w:rPr>
  </w:style>
  <w:style w:type="paragraph" w:styleId="a4">
    <w:name w:val="Body Text First Indent"/>
    <w:basedOn w:val="a5"/>
    <w:next w:val="a"/>
    <w:unhideWhenUsed/>
    <w:qFormat/>
    <w:pPr>
      <w:autoSpaceDE w:val="0"/>
      <w:autoSpaceDN w:val="0"/>
      <w:adjustRightInd w:val="0"/>
      <w:ind w:firstLineChars="100" w:firstLine="420"/>
      <w:textAlignment w:val="baseline"/>
    </w:pPr>
    <w:rPr>
      <w:sz w:val="24"/>
    </w:rPr>
  </w:style>
  <w:style w:type="paragraph" w:styleId="a5">
    <w:name w:val="Body Text"/>
    <w:basedOn w:val="a"/>
    <w:next w:val="a4"/>
    <w:uiPriority w:val="99"/>
    <w:unhideWhenUsed/>
    <w:pPr>
      <w:spacing w:after="120"/>
    </w:pPr>
    <w:rPr>
      <w:szCs w:val="24"/>
    </w:rPr>
  </w:style>
  <w:style w:type="paragraph" w:styleId="a6">
    <w:name w:val="toa heading"/>
    <w:basedOn w:val="a"/>
    <w:next w:val="a"/>
    <w:semiHidden/>
    <w:qFormat/>
    <w:pPr>
      <w:spacing w:before="120"/>
    </w:pPr>
    <w:rPr>
      <w:rFonts w:ascii="Arial" w:hAnsi="Arial"/>
      <w:sz w:val="24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6"/>
    <w:next w:val="a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Wheat Chen</dc:creator>
  <cp:lastModifiedBy>Bob</cp:lastModifiedBy>
  <cp:revision>6</cp:revision>
  <dcterms:created xsi:type="dcterms:W3CDTF">2023-10-26T20:26:00Z</dcterms:created>
  <dcterms:modified xsi:type="dcterms:W3CDTF">2023-10-30T09:01:00Z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2A779EBCCE21AA2081EA39658AFDD8D6</vt:lpwstr>
  </property>
</Properties>
</file>