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z w:val="32"/>
          <w:szCs w:val="32"/>
          <w:lang w:val="en-US" w:eastAsia="zh-CN"/>
        </w:rPr>
      </w:pPr>
      <w:r>
        <w:rPr>
          <w:rFonts w:hint="eastAsia"/>
          <w:b/>
          <w:bCs/>
          <w:sz w:val="32"/>
          <w:szCs w:val="32"/>
          <w:lang w:val="en-US" w:eastAsia="zh-CN"/>
        </w:rPr>
        <w:t>集采药品管理系统参数</w:t>
      </w:r>
    </w:p>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left"/>
        <w:textAlignment w:val="auto"/>
        <w:outlineLvl w:val="2"/>
        <w:rPr>
          <w:rFonts w:hint="default" w:ascii="Times New Roman" w:hAnsi="Times New Roman" w:cs="Times New Roman"/>
          <w:b/>
          <w:bCs/>
          <w:snapToGrid w:val="0"/>
          <w:kern w:val="0"/>
          <w:sz w:val="24"/>
          <w:szCs w:val="24"/>
        </w:rPr>
      </w:pPr>
      <w:r>
        <w:rPr>
          <w:rFonts w:hint="eastAsia" w:ascii="Times New Roman" w:hAnsi="Times New Roman" w:cs="Times New Roman"/>
          <w:b/>
          <w:bCs/>
          <w:snapToGrid w:val="0"/>
          <w:kern w:val="0"/>
          <w:sz w:val="24"/>
          <w:szCs w:val="24"/>
          <w:lang w:val="en-US" w:eastAsia="zh-CN"/>
        </w:rPr>
        <w:t xml:space="preserve"> </w:t>
      </w:r>
      <w:r>
        <w:rPr>
          <w:rFonts w:hint="default" w:ascii="Times New Roman" w:hAnsi="Times New Roman" w:cs="Times New Roman"/>
          <w:b/>
          <w:bCs/>
          <w:snapToGrid w:val="0"/>
          <w:kern w:val="0"/>
          <w:sz w:val="24"/>
          <w:szCs w:val="24"/>
        </w:rPr>
        <w:t>总体要求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default" w:ascii="Times New Roman" w:hAnsi="Times New Roman" w:cs="Times New Roman"/>
          <w:snapToGrid w:val="0"/>
          <w:kern w:val="0"/>
          <w:szCs w:val="21"/>
        </w:rPr>
      </w:pPr>
      <w:r>
        <w:rPr>
          <w:rFonts w:hint="eastAsia" w:ascii="Times New Roman" w:hAnsi="Times New Roman" w:cs="Times New Roman"/>
          <w:snapToGrid w:val="0"/>
          <w:kern w:val="0"/>
          <w:szCs w:val="21"/>
          <w:lang w:val="en-US" w:eastAsia="zh-CN"/>
        </w:rPr>
        <w:t xml:space="preserve"> </w:t>
      </w:r>
      <w:r>
        <w:rPr>
          <w:rFonts w:hint="default" w:ascii="Times New Roman" w:hAnsi="Times New Roman" w:cs="Times New Roman"/>
          <w:snapToGrid w:val="0"/>
          <w:kern w:val="0"/>
          <w:szCs w:val="21"/>
        </w:rPr>
        <w:t>系统设计科学、合理，系统使用方便。</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default" w:ascii="Times New Roman" w:hAnsi="Times New Roman" w:cs="Times New Roman"/>
          <w:snapToGrid w:val="0"/>
          <w:kern w:val="0"/>
          <w:szCs w:val="21"/>
        </w:rPr>
      </w:pPr>
      <w:r>
        <w:rPr>
          <w:rFonts w:hint="eastAsia" w:ascii="Times New Roman" w:hAnsi="Times New Roman" w:cs="Times New Roman"/>
          <w:snapToGrid w:val="0"/>
          <w:kern w:val="0"/>
          <w:szCs w:val="21"/>
          <w:lang w:val="en-US" w:eastAsia="zh-CN"/>
        </w:rPr>
        <w:t xml:space="preserve"> </w:t>
      </w:r>
      <w:r>
        <w:rPr>
          <w:rFonts w:hint="default" w:ascii="Times New Roman" w:hAnsi="Times New Roman" w:cs="Times New Roman"/>
          <w:snapToGrid w:val="0"/>
          <w:kern w:val="0"/>
          <w:szCs w:val="21"/>
        </w:rPr>
        <w:t>所投产品具有《计算机软件著作权登记证书》。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default" w:ascii="Times New Roman" w:hAnsi="Times New Roman" w:cs="Times New Roman"/>
          <w:snapToGrid w:val="0"/>
          <w:kern w:val="0"/>
          <w:szCs w:val="21"/>
        </w:rPr>
      </w:pPr>
      <w:r>
        <w:rPr>
          <w:rFonts w:hint="eastAsia" w:ascii="Times New Roman" w:hAnsi="Times New Roman" w:cs="Times New Roman"/>
          <w:snapToGrid w:val="0"/>
          <w:kern w:val="0"/>
          <w:szCs w:val="21"/>
          <w:lang w:val="en-US" w:eastAsia="zh-CN"/>
        </w:rPr>
        <w:t xml:space="preserve"> </w:t>
      </w:r>
      <w:r>
        <w:rPr>
          <w:rFonts w:hint="default" w:ascii="Times New Roman" w:hAnsi="Times New Roman" w:cs="Times New Roman"/>
          <w:snapToGrid w:val="0"/>
          <w:kern w:val="0"/>
          <w:szCs w:val="21"/>
        </w:rPr>
        <w:t>要求以B/S架构部署，软件系统以浏览器为统一操作界面。</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default" w:ascii="Times New Roman" w:hAnsi="Times New Roman" w:cs="Times New Roman"/>
          <w:snapToGrid w:val="0"/>
          <w:kern w:val="0"/>
          <w:szCs w:val="21"/>
        </w:rPr>
      </w:pPr>
      <w:r>
        <w:rPr>
          <w:rFonts w:hint="eastAsia" w:ascii="Times New Roman" w:hAnsi="Times New Roman" w:cs="Times New Roman"/>
          <w:snapToGrid w:val="0"/>
          <w:kern w:val="0"/>
          <w:szCs w:val="21"/>
          <w:lang w:val="en-US" w:eastAsia="zh-CN"/>
        </w:rPr>
        <w:t xml:space="preserve"> </w:t>
      </w:r>
      <w:r>
        <w:rPr>
          <w:rFonts w:hint="default" w:ascii="Times New Roman" w:hAnsi="Times New Roman" w:cs="Times New Roman"/>
          <w:snapToGrid w:val="0"/>
          <w:kern w:val="0"/>
          <w:szCs w:val="21"/>
        </w:rPr>
        <w:t>部</w:t>
      </w:r>
      <w:r>
        <w:rPr>
          <w:rFonts w:hint="default" w:ascii="Times New Roman" w:hAnsi="Times New Roman" w:cs="Times New Roman"/>
          <w:snapToGrid w:val="0"/>
          <w:color w:val="auto"/>
          <w:kern w:val="0"/>
          <w:szCs w:val="21"/>
        </w:rPr>
        <w:t>署</w:t>
      </w:r>
      <w:r>
        <w:rPr>
          <w:rFonts w:hint="eastAsia" w:cs="Times New Roman"/>
          <w:snapToGrid w:val="0"/>
          <w:color w:val="auto"/>
          <w:kern w:val="0"/>
          <w:szCs w:val="21"/>
          <w:lang w:val="en-US" w:eastAsia="zh-CN"/>
        </w:rPr>
        <w:t>集采药品</w:t>
      </w:r>
      <w:r>
        <w:rPr>
          <w:rFonts w:hint="eastAsia" w:cs="Times New Roman"/>
          <w:snapToGrid w:val="0"/>
          <w:color w:val="auto"/>
          <w:kern w:val="0"/>
          <w:szCs w:val="21"/>
          <w:lang w:eastAsia="zh-CN"/>
        </w:rPr>
        <w:t>管理系统</w:t>
      </w:r>
      <w:r>
        <w:rPr>
          <w:rFonts w:hint="default" w:ascii="Times New Roman" w:hAnsi="Times New Roman" w:cs="Times New Roman"/>
          <w:snapToGrid w:val="0"/>
          <w:color w:val="auto"/>
          <w:kern w:val="0"/>
          <w:szCs w:val="21"/>
        </w:rPr>
        <w:t>所</w:t>
      </w:r>
      <w:r>
        <w:rPr>
          <w:rFonts w:hint="default" w:ascii="Times New Roman" w:hAnsi="Times New Roman" w:cs="Times New Roman"/>
          <w:snapToGrid w:val="0"/>
          <w:kern w:val="0"/>
          <w:szCs w:val="21"/>
        </w:rPr>
        <w:t>需的操作系统和数据库软件系统由投标人提供并安装，要求无版权问题。</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default"/>
        </w:rPr>
      </w:pPr>
      <w:r>
        <w:rPr>
          <w:rFonts w:hint="eastAsia" w:ascii="Times New Roman" w:hAnsi="Times New Roman" w:eastAsia="宋体" w:cs="Times New Roman"/>
          <w:snapToGrid w:val="0"/>
          <w:kern w:val="0"/>
          <w:szCs w:val="21"/>
          <w:lang w:val="en-US" w:eastAsia="zh-CN"/>
        </w:rPr>
        <w:t xml:space="preserve"> </w:t>
      </w:r>
      <w:r>
        <w:rPr>
          <w:rFonts w:hint="eastAsia" w:cs="Times New Roman"/>
          <w:snapToGrid w:val="0"/>
          <w:kern w:val="0"/>
          <w:szCs w:val="21"/>
          <w:lang w:val="en-US" w:eastAsia="zh-CN"/>
        </w:rPr>
        <w:t>△</w:t>
      </w:r>
      <w:r>
        <w:rPr>
          <w:rFonts w:hint="default" w:ascii="Times New Roman" w:hAnsi="Times New Roman" w:eastAsia="宋体" w:cs="Times New Roman"/>
          <w:snapToGrid w:val="0"/>
          <w:kern w:val="0"/>
          <w:szCs w:val="21"/>
        </w:rPr>
        <w:t>与医院信息系统</w:t>
      </w:r>
      <w:r>
        <w:rPr>
          <w:rFonts w:hint="eastAsia" w:cs="Times New Roman"/>
          <w:snapToGrid w:val="0"/>
          <w:kern w:val="0"/>
          <w:szCs w:val="21"/>
          <w:lang w:eastAsia="zh-CN"/>
        </w:rPr>
        <w:t>、</w:t>
      </w:r>
      <w:r>
        <w:rPr>
          <w:rFonts w:hint="eastAsia" w:cs="Times New Roman"/>
          <w:snapToGrid w:val="0"/>
          <w:kern w:val="0"/>
          <w:szCs w:val="21"/>
          <w:lang w:val="en-US" w:eastAsia="zh-CN"/>
        </w:rPr>
        <w:t>合理用药系统</w:t>
      </w:r>
      <w:r>
        <w:rPr>
          <w:rFonts w:hint="default" w:ascii="Times New Roman" w:hAnsi="Times New Roman" w:eastAsia="宋体" w:cs="Times New Roman"/>
          <w:snapToGrid w:val="0"/>
          <w:kern w:val="0"/>
          <w:szCs w:val="21"/>
        </w:rPr>
        <w:t>无缝对</w:t>
      </w:r>
      <w:r>
        <w:rPr>
          <w:rFonts w:hint="default" w:ascii="Times New Roman" w:hAnsi="Times New Roman" w:eastAsia="宋体" w:cs="Times New Roman"/>
          <w:snapToGrid w:val="0"/>
          <w:color w:val="auto"/>
          <w:kern w:val="0"/>
          <w:szCs w:val="21"/>
        </w:rPr>
        <w:t>接</w:t>
      </w:r>
      <w:r>
        <w:rPr>
          <w:rFonts w:hint="default" w:ascii="Times New Roman" w:hAnsi="Times New Roman" w:cs="Times New Roman"/>
          <w:snapToGrid w:val="0"/>
          <w:color w:val="auto"/>
          <w:kern w:val="0"/>
          <w:szCs w:val="21"/>
          <w:shd w:val="clear" w:color="auto" w:fill="auto"/>
        </w:rPr>
        <w:t>。</w:t>
      </w:r>
    </w:p>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left"/>
        <w:textAlignment w:val="auto"/>
        <w:outlineLvl w:val="2"/>
        <w:rPr>
          <w:sz w:val="24"/>
          <w:szCs w:val="24"/>
        </w:rPr>
      </w:pPr>
      <w:r>
        <w:rPr>
          <w:rFonts w:hint="eastAsia" w:ascii="Times New Roman" w:hAnsi="Times New Roman" w:eastAsia="宋体" w:cs="Times New Roman"/>
          <w:b/>
          <w:bCs/>
          <w:snapToGrid w:val="0"/>
          <w:kern w:val="0"/>
          <w:sz w:val="24"/>
          <w:szCs w:val="24"/>
          <w:lang w:val="en-US" w:eastAsia="zh-CN"/>
        </w:rPr>
        <w:t xml:space="preserve"> </w:t>
      </w:r>
      <w:r>
        <w:rPr>
          <w:rFonts w:hint="default" w:ascii="Times New Roman" w:hAnsi="Times New Roman" w:eastAsia="宋体" w:cs="Times New Roman"/>
          <w:b/>
          <w:bCs/>
          <w:snapToGrid w:val="0"/>
          <w:kern w:val="0"/>
          <w:sz w:val="24"/>
          <w:szCs w:val="24"/>
          <w:lang w:val="en-US" w:eastAsia="zh-CN"/>
        </w:rPr>
        <w:t>系统建设内容及功能要求</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7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kinsoku/>
              <w:wordWrap/>
              <w:overflowPunct/>
              <w:topLinePunct w:val="0"/>
              <w:bidi w:val="0"/>
              <w:adjustRightInd/>
              <w:snapToGrid/>
              <w:spacing w:line="460" w:lineRule="exact"/>
              <w:jc w:val="center"/>
              <w:rPr>
                <w:rFonts w:hint="eastAsia" w:ascii="宋体" w:hAnsi="宋体" w:eastAsia="宋体" w:cs="宋体"/>
                <w:color w:val="000000"/>
                <w:szCs w:val="21"/>
                <w:lang w:eastAsia="zh-CN"/>
              </w:rPr>
            </w:pPr>
            <w:r>
              <w:rPr>
                <w:rFonts w:hint="eastAsia" w:ascii="宋体" w:hAnsi="宋体" w:eastAsia="宋体" w:cs="宋体"/>
                <w:b/>
                <w:bCs/>
                <w:color w:val="000000"/>
                <w:kern w:val="0"/>
                <w:lang w:val="en-US" w:eastAsia="zh-CN"/>
              </w:rPr>
              <w:t>序号</w:t>
            </w:r>
          </w:p>
        </w:tc>
        <w:tc>
          <w:tcPr>
            <w:tcW w:w="4396" w:type="pct"/>
            <w:noWrap w:val="0"/>
            <w:vAlign w:val="center"/>
          </w:tcPr>
          <w:p>
            <w:pPr>
              <w:keepNext w:val="0"/>
              <w:keepLines w:val="0"/>
              <w:pageBreakBefore w:val="0"/>
              <w:kinsoku/>
              <w:wordWrap/>
              <w:overflowPunct/>
              <w:topLinePunct w:val="0"/>
              <w:bidi w:val="0"/>
              <w:adjustRightInd/>
              <w:snapToGrid/>
              <w:spacing w:line="460" w:lineRule="exact"/>
              <w:jc w:val="center"/>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2"/>
            <w:noWrap w:val="0"/>
            <w:vAlign w:val="center"/>
          </w:tcPr>
          <w:p>
            <w:pPr>
              <w:keepNext w:val="0"/>
              <w:keepLines w:val="0"/>
              <w:pageBreakBefore w:val="0"/>
              <w:kinsoku/>
              <w:wordWrap/>
              <w:overflowPunct/>
              <w:topLinePunct w:val="0"/>
              <w:bidi w:val="0"/>
              <w:adjustRightInd/>
              <w:snapToGrid/>
              <w:spacing w:line="4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0"/>
                <w:lang w:eastAsia="zh-CN"/>
              </w:rPr>
              <w:t>（</w:t>
            </w:r>
            <w:r>
              <w:rPr>
                <w:rFonts w:hint="eastAsia" w:ascii="宋体" w:hAnsi="宋体" w:eastAsia="宋体" w:cs="宋体"/>
                <w:b/>
                <w:bCs/>
                <w:color w:val="000000"/>
                <w:kern w:val="0"/>
                <w:lang w:val="en-US" w:eastAsia="zh-CN"/>
              </w:rPr>
              <w:t>一</w:t>
            </w:r>
            <w:r>
              <w:rPr>
                <w:rFonts w:hint="eastAsia" w:ascii="宋体" w:hAnsi="宋体" w:eastAsia="宋体" w:cs="宋体"/>
                <w:b/>
                <w:bCs/>
                <w:color w:val="000000"/>
                <w:kern w:val="0"/>
                <w:lang w:eastAsia="zh-CN"/>
              </w:rPr>
              <w:t>）</w:t>
            </w:r>
            <w:r>
              <w:rPr>
                <w:rFonts w:hint="eastAsia" w:ascii="宋体" w:hAnsi="宋体" w:eastAsia="宋体" w:cs="宋体"/>
                <w:b/>
                <w:bCs/>
                <w:color w:val="000000"/>
                <w:kern w:val="0"/>
              </w:rPr>
              <w:t>药品基础数据维护功能－目录管理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提供中标药品目录管理功能，支持设置医院中标药品目录、药品执行周期、批次、待完成任务量、任务参考周期及同类药品目录等；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支持通过excel表格的方式导入中标药品目录；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支持导出中标药品目录；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kinsoku/>
              <w:wordWrap/>
              <w:overflowPunct/>
              <w:topLinePunct w:val="0"/>
              <w:bidi w:val="0"/>
              <w:adjustRightInd/>
              <w:snapToGrid/>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支持批量设置药品用量任务分配参考周期。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
            <w:noWrap w:val="0"/>
            <w:vAlign w:val="center"/>
          </w:tcPr>
          <w:p>
            <w:pPr>
              <w:keepNext w:val="0"/>
              <w:keepLines w:val="0"/>
              <w:pageBreakBefore w:val="0"/>
              <w:kinsoku/>
              <w:wordWrap/>
              <w:overflowPunct/>
              <w:topLinePunct w:val="0"/>
              <w:bidi w:val="0"/>
              <w:adjustRightInd/>
              <w:snapToGrid/>
              <w:spacing w:line="4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0"/>
                <w:lang w:eastAsia="zh-CN"/>
              </w:rPr>
              <w:t>（</w:t>
            </w:r>
            <w:r>
              <w:rPr>
                <w:rFonts w:hint="eastAsia" w:ascii="宋体" w:hAnsi="宋体" w:eastAsia="宋体" w:cs="宋体"/>
                <w:b/>
                <w:bCs/>
                <w:color w:val="000000"/>
                <w:kern w:val="0"/>
                <w:lang w:val="en-US" w:eastAsia="zh-CN"/>
              </w:rPr>
              <w:t>二</w:t>
            </w:r>
            <w:r>
              <w:rPr>
                <w:rFonts w:hint="eastAsia" w:ascii="宋体" w:hAnsi="宋体" w:eastAsia="宋体" w:cs="宋体"/>
                <w:b/>
                <w:bCs/>
                <w:color w:val="000000"/>
                <w:kern w:val="0"/>
                <w:lang w:eastAsia="zh-CN"/>
              </w:rPr>
              <w:t>）</w:t>
            </w:r>
            <w:r>
              <w:rPr>
                <w:rFonts w:hint="eastAsia" w:ascii="宋体" w:hAnsi="宋体" w:eastAsia="宋体" w:cs="宋体"/>
                <w:b/>
                <w:bCs/>
                <w:color w:val="000000"/>
                <w:kern w:val="0"/>
              </w:rPr>
              <w:t>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★支持根据中标药品历史参考周期的每月用量，自动计算今年每月计划用量，并按使用比例分配到各科室和各医生，实现集采药品任务量的智能设定；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支持根据上月任务完成量及剩余任务量自动计算和调整剩余月份任务量；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支持医院根据实际用药情况设置各科室及医生年任务量及每月任务量；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支持查看药品历史任务量设置情况；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kinsoku/>
              <w:wordWrap/>
              <w:overflowPunct/>
              <w:topLinePunct w:val="0"/>
              <w:bidi w:val="0"/>
              <w:adjustRightInd/>
              <w:snapToGrid/>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支持导出药品用量任务统计表。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
            <w:noWrap w:val="0"/>
            <w:vAlign w:val="center"/>
          </w:tcPr>
          <w:p>
            <w:pPr>
              <w:keepNext w:val="0"/>
              <w:keepLines w:val="0"/>
              <w:pageBreakBefore w:val="0"/>
              <w:kinsoku/>
              <w:wordWrap/>
              <w:overflowPunct/>
              <w:topLinePunct w:val="0"/>
              <w:bidi w:val="0"/>
              <w:adjustRightInd/>
              <w:snapToGrid/>
              <w:spacing w:line="4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0"/>
                <w:lang w:eastAsia="zh-CN"/>
              </w:rPr>
              <w:t>（</w:t>
            </w:r>
            <w:r>
              <w:rPr>
                <w:rFonts w:hint="eastAsia" w:ascii="宋体" w:hAnsi="宋体" w:eastAsia="宋体" w:cs="宋体"/>
                <w:b/>
                <w:bCs/>
                <w:color w:val="000000"/>
                <w:kern w:val="0"/>
                <w:lang w:val="en-US" w:eastAsia="zh-CN"/>
              </w:rPr>
              <w:t>三</w:t>
            </w:r>
            <w:r>
              <w:rPr>
                <w:rFonts w:hint="eastAsia" w:ascii="宋体" w:hAnsi="宋体" w:eastAsia="宋体" w:cs="宋体"/>
                <w:b/>
                <w:bCs/>
                <w:color w:val="000000"/>
                <w:kern w:val="0"/>
                <w:lang w:eastAsia="zh-CN"/>
              </w:rPr>
              <w:t>）</w:t>
            </w:r>
            <w:r>
              <w:rPr>
                <w:rFonts w:hint="eastAsia" w:ascii="宋体" w:hAnsi="宋体" w:eastAsia="宋体" w:cs="宋体"/>
                <w:b/>
                <w:bCs/>
                <w:color w:val="000000"/>
                <w:kern w:val="0"/>
              </w:rPr>
              <w:t>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10</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系统应自动提示优先选用国家集采药品，当医生开方时未首选国家集采药品，应有信息弹框提醒；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11</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★医生端的信息弹框应支持提示该集采药品的本月任务量和未完成量，引导医生优先开具集采药品；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12</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支持在医生开方阶段对不符合处方权限设置的药品进行实时拦截；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13</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提供同类药品处方权限管理功能，可通过处方权限的全局设置和药品设置配置可开具同类药品的处方条件，不满足条件设置的药品不允许开具；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14</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lang w:eastAsia="zh-CN"/>
              </w:rPr>
            </w:pPr>
            <w:r>
              <w:rPr>
                <w:rFonts w:hint="eastAsia" w:ascii="宋体" w:hAnsi="宋体" w:eastAsia="宋体" w:cs="宋体"/>
                <w:kern w:val="0"/>
              </w:rPr>
              <w:t>系统应具有全局设置管控功能，可对所有同类药品使用权限的管理。可设置条件包括：</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rPr>
            </w:pPr>
            <w:r>
              <w:rPr>
                <w:rFonts w:hint="eastAsia" w:ascii="宋体" w:hAnsi="宋体" w:eastAsia="宋体" w:cs="宋体"/>
                <w:kern w:val="0"/>
              </w:rPr>
              <w:t>（1）科室名称、医生职称、处方日期；</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rPr>
            </w:pPr>
            <w:r>
              <w:rPr>
                <w:rFonts w:hint="eastAsia" w:ascii="宋体" w:hAnsi="宋体" w:eastAsia="宋体" w:cs="宋体"/>
                <w:kern w:val="0"/>
              </w:rPr>
              <w:t>（2）中标药品本月用量（全院/科室/医生）管控：当中标药品本月用量大于本月总任务量的XX%时，可以开具其他同类药品；</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rPr>
            </w:pPr>
            <w:r>
              <w:rPr>
                <w:rFonts w:hint="eastAsia" w:ascii="宋体" w:hAnsi="宋体" w:eastAsia="宋体" w:cs="宋体"/>
                <w:kern w:val="0"/>
              </w:rPr>
              <w:t>（3）中标药品本月用量占比（全院/科室/医生）管控：当中标药品本月用量比例超过设定值时，可以开具其他同类药品；</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rPr>
            </w:pPr>
            <w:r>
              <w:rPr>
                <w:rFonts w:hint="eastAsia" w:ascii="宋体" w:hAnsi="宋体" w:eastAsia="宋体" w:cs="宋体"/>
                <w:kern w:val="0"/>
              </w:rPr>
              <w:t>（4）★中标药品累计用量（全院/科室/医生）管控：当中标药品累计使用量大于总任务量的XX%时，可以开具其他同类药品；</w:t>
            </w:r>
          </w:p>
          <w:p>
            <w:pPr>
              <w:keepNext w:val="0"/>
              <w:keepLines w:val="0"/>
              <w:pageBreakBefore w:val="0"/>
              <w:numPr>
                <w:ilvl w:val="0"/>
                <w:numId w:val="0"/>
              </w:numPr>
              <w:kinsoku/>
              <w:wordWrap/>
              <w:overflowPunct/>
              <w:topLinePunct w:val="0"/>
              <w:bidi w:val="0"/>
              <w:adjustRightInd/>
              <w:snapToGrid/>
              <w:spacing w:line="460" w:lineRule="exact"/>
              <w:ind w:left="0" w:leftChars="0"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kern w:val="0"/>
              </w:rPr>
              <w:t>（5）同类药品本月用量管控：若同类药品当前月份的总用量小于上月总用量或去年同期总用量的XX%时，则可以开具同类药品；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15</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lang w:eastAsia="zh-CN"/>
              </w:rPr>
            </w:pPr>
            <w:r>
              <w:rPr>
                <w:rFonts w:hint="eastAsia" w:ascii="宋体" w:hAnsi="宋体" w:eastAsia="宋体" w:cs="宋体"/>
                <w:kern w:val="0"/>
              </w:rPr>
              <w:t>系统应具有药品设置管控功能，对当前集采药品所有同类药品使用权限的管理，可设置条件包括：</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rPr>
            </w:pPr>
            <w:r>
              <w:rPr>
                <w:rFonts w:hint="eastAsia" w:ascii="宋体" w:hAnsi="宋体" w:eastAsia="宋体" w:cs="宋体"/>
                <w:kern w:val="0"/>
              </w:rPr>
              <w:t>（1）诊断名称、诊断编码、医生姓名、医生职称、科室名称、处方日期、药品名称、患者号；</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rPr>
            </w:pPr>
            <w:r>
              <w:rPr>
                <w:rFonts w:hint="eastAsia" w:ascii="宋体" w:hAnsi="宋体" w:eastAsia="宋体" w:cs="宋体"/>
                <w:kern w:val="0"/>
              </w:rPr>
              <w:t>（2）中标药品本月用量（全院/科室/医生）管控：当中标药品本月用量大于本月总任务量的XX%时，可以开具其他同类药品；</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rPr>
            </w:pPr>
            <w:r>
              <w:rPr>
                <w:rFonts w:hint="eastAsia" w:ascii="宋体" w:hAnsi="宋体" w:eastAsia="宋体" w:cs="宋体"/>
                <w:kern w:val="0"/>
              </w:rPr>
              <w:t>（3）中标药品本月用量占比（全院/科室/医生）管控：当中标药品本月用量比例超过设定值时，可以开具其他同类药品；</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rPr>
            </w:pPr>
            <w:r>
              <w:rPr>
                <w:rFonts w:hint="eastAsia" w:ascii="宋体" w:hAnsi="宋体" w:eastAsia="宋体" w:cs="宋体"/>
                <w:kern w:val="0"/>
              </w:rPr>
              <w:t>（4）★中标药品累计用量（全院/科室/医生）管控：当中标药品累计使用量大于总任务量的XX%时，可以开具其他同类药品；</w:t>
            </w:r>
          </w:p>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kern w:val="0"/>
              </w:rPr>
            </w:pPr>
            <w:r>
              <w:rPr>
                <w:rFonts w:hint="eastAsia" w:ascii="宋体" w:hAnsi="宋体" w:eastAsia="宋体" w:cs="宋体"/>
                <w:kern w:val="0"/>
              </w:rPr>
              <w:t>（5）同类药品本月用量管控：若同类药品当前月份的总用量小于上月总用量或去年同期总用量的XX%时，则可以开具同类药品；</w:t>
            </w:r>
          </w:p>
          <w:p>
            <w:pPr>
              <w:keepNext w:val="0"/>
              <w:keepLines w:val="0"/>
              <w:pageBreakBefore w:val="0"/>
              <w:numPr>
                <w:ilvl w:val="0"/>
                <w:numId w:val="0"/>
              </w:numPr>
              <w:kinsoku/>
              <w:wordWrap/>
              <w:overflowPunct/>
              <w:topLinePunct w:val="0"/>
              <w:bidi w:val="0"/>
              <w:adjustRightInd/>
              <w:snapToGrid/>
              <w:spacing w:line="460" w:lineRule="exact"/>
              <w:ind w:left="0" w:leftChars="0" w:firstLine="0" w:firstLineChars="0"/>
              <w:rPr>
                <w:rFonts w:hint="eastAsia" w:ascii="宋体" w:hAnsi="宋体" w:eastAsia="宋体" w:cs="宋体"/>
                <w:color w:val="000000"/>
                <w:kern w:val="2"/>
                <w:sz w:val="21"/>
                <w:szCs w:val="21"/>
                <w:lang w:val="en-US" w:eastAsia="zh-CN" w:bidi="ar-SA"/>
              </w:rPr>
            </w:pPr>
            <w:r>
              <w:rPr>
                <w:rFonts w:hint="eastAsia" w:ascii="宋体" w:hAnsi="宋体" w:eastAsia="宋体" w:cs="宋体"/>
                <w:kern w:val="0"/>
              </w:rPr>
              <w:t>（6）★医生当前科室中标药品本月用量：若医生在当前科室中标药品累计使用量大于医生在当前科室月任务量的XX%时，则可以开具其他同类药品；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kinsoku/>
              <w:wordWrap/>
              <w:overflowPunct/>
              <w:topLinePunct w:val="0"/>
              <w:bidi w:val="0"/>
              <w:adjustRightInd/>
              <w:snapToGrid/>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16</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支持自动匹配药品执行周期，对处方日期在药品执行周期范围内的处方进行自动管控。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2"/>
            <w:noWrap w:val="0"/>
            <w:vAlign w:val="center"/>
          </w:tcPr>
          <w:p>
            <w:pPr>
              <w:keepNext w:val="0"/>
              <w:keepLines w:val="0"/>
              <w:pageBreakBefore w:val="0"/>
              <w:kinsoku/>
              <w:wordWrap/>
              <w:overflowPunct/>
              <w:topLinePunct w:val="0"/>
              <w:bidi w:val="0"/>
              <w:adjustRightInd/>
              <w:snapToGrid/>
              <w:spacing w:line="4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b/>
                <w:color w:val="000000"/>
                <w:kern w:val="0"/>
                <w:lang w:eastAsia="zh-CN"/>
              </w:rPr>
              <w:t>（</w:t>
            </w:r>
            <w:r>
              <w:rPr>
                <w:rFonts w:hint="eastAsia" w:ascii="宋体" w:hAnsi="宋体" w:eastAsia="宋体" w:cs="宋体"/>
                <w:b/>
                <w:color w:val="000000"/>
                <w:kern w:val="0"/>
                <w:lang w:val="en-US" w:eastAsia="zh-CN"/>
              </w:rPr>
              <w:t>四</w:t>
            </w:r>
            <w:r>
              <w:rPr>
                <w:rFonts w:hint="eastAsia" w:ascii="宋体" w:hAnsi="宋体" w:eastAsia="宋体" w:cs="宋体"/>
                <w:b/>
                <w:color w:val="000000"/>
                <w:kern w:val="0"/>
                <w:lang w:eastAsia="zh-CN"/>
              </w:rPr>
              <w:t>）</w:t>
            </w:r>
            <w:r>
              <w:rPr>
                <w:rFonts w:hint="eastAsia" w:ascii="宋体" w:hAnsi="宋体" w:eastAsia="宋体" w:cs="宋体"/>
                <w:b/>
                <w:color w:val="000000"/>
                <w:kern w:val="0"/>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17</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图形化展示医院中标药品使用情况，包括月任务完成药品占比、总任务完成药品占比、任务未完成药品前10名；支持查看前10名药品任务完成率趋势图、月任务完成情况及总任务完成情况，并支持按药品切换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18</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统计全院所有中标药品使用情况，包括任务量、累计使用量、累计完成率、同类药品累计使用量、中标药品累计用量占比、当月任务量、当月使用量、当月完成率、同类药品当月使用量、中标药品当月用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19</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w:t>
            </w:r>
            <w:r>
              <w:rPr>
                <w:rFonts w:hint="eastAsia" w:ascii="宋体" w:hAnsi="宋体" w:eastAsia="宋体" w:cs="宋体"/>
                <w:b/>
                <w:bCs/>
                <w:color w:val="000000"/>
                <w:kern w:val="0"/>
              </w:rPr>
              <w:t>按科室维度</w:t>
            </w:r>
            <w:r>
              <w:rPr>
                <w:rFonts w:hint="eastAsia" w:ascii="宋体" w:hAnsi="宋体" w:eastAsia="宋体" w:cs="宋体"/>
                <w:color w:val="000000"/>
                <w:kern w:val="0"/>
              </w:rPr>
              <w:t>统计全院所有中标药品使用情况，包括任务量、累计使用量、累计完成率、同类药品累计使用量、中标药品累计用量占比、当月任务量、当月使用量、当月完成率、同类药品当月使用量、中标药品当月用量占比；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w:t>
            </w:r>
            <w:r>
              <w:rPr>
                <w:rFonts w:hint="eastAsia" w:ascii="宋体" w:hAnsi="宋体" w:eastAsia="宋体" w:cs="宋体"/>
                <w:b/>
                <w:bCs/>
                <w:color w:val="000000"/>
                <w:kern w:val="0"/>
              </w:rPr>
              <w:t>按科室</w:t>
            </w:r>
            <w:r>
              <w:rPr>
                <w:rFonts w:hint="eastAsia" w:ascii="宋体" w:hAnsi="宋体" w:eastAsia="宋体" w:cs="宋体"/>
                <w:b/>
                <w:bCs/>
                <w:color w:val="000000"/>
                <w:kern w:val="0"/>
                <w:lang w:eastAsia="zh-CN"/>
              </w:rPr>
              <w:t>－</w:t>
            </w:r>
            <w:r>
              <w:rPr>
                <w:rFonts w:hint="eastAsia" w:ascii="宋体" w:hAnsi="宋体" w:eastAsia="宋体" w:cs="宋体"/>
                <w:b/>
                <w:bCs/>
                <w:color w:val="000000"/>
                <w:kern w:val="0"/>
              </w:rPr>
              <w:t>医生维度</w:t>
            </w:r>
            <w:r>
              <w:rPr>
                <w:rFonts w:hint="eastAsia" w:ascii="宋体" w:hAnsi="宋体" w:eastAsia="宋体" w:cs="宋体"/>
                <w:color w:val="000000"/>
                <w:kern w:val="0"/>
              </w:rPr>
              <w:t>统计全院所有中标药品使用情况，包括任务量、累计使用量、累计完成率、同类药品累计使用量、中标药品累计用量占比、当月任务量、当月使用量、当月完成率、同类药品当月使用量、中标药品当月用量占比；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21</w:t>
            </w:r>
          </w:p>
        </w:tc>
        <w:tc>
          <w:tcPr>
            <w:tcW w:w="4396" w:type="pct"/>
            <w:noWrap w:val="0"/>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w:t>
            </w:r>
            <w:r>
              <w:rPr>
                <w:rFonts w:hint="eastAsia" w:ascii="宋体" w:hAnsi="宋体" w:eastAsia="宋体" w:cs="宋体"/>
                <w:b/>
                <w:bCs/>
                <w:color w:val="000000"/>
                <w:kern w:val="0"/>
              </w:rPr>
              <w:t>按医生维度</w:t>
            </w:r>
            <w:r>
              <w:rPr>
                <w:rFonts w:hint="eastAsia" w:ascii="宋体" w:hAnsi="宋体" w:eastAsia="宋体" w:cs="宋体"/>
                <w:color w:val="000000"/>
                <w:kern w:val="0"/>
              </w:rPr>
              <w:t>统计全院所有中标药品使用情况，包括任务量、累计使用量、累计完成率、同类药品累计使用量、中标药品累计用量占比、当月任务量、当月使用量、当月完成率、同类药品当月使用量、中标药品当月用量占比；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3" w:type="pct"/>
          </w:tcPr>
          <w:p>
            <w:pPr>
              <w:keepNext w:val="0"/>
              <w:keepLines w:val="0"/>
              <w:pageBreakBefore w:val="0"/>
              <w:numPr>
                <w:ilvl w:val="0"/>
                <w:numId w:val="0"/>
              </w:numPr>
              <w:kinsoku/>
              <w:wordWrap/>
              <w:overflowPunct/>
              <w:topLinePunct w:val="0"/>
              <w:bidi w:val="0"/>
              <w:adjustRightInd/>
              <w:snapToGrid/>
              <w:spacing w:line="460" w:lineRule="exact"/>
              <w:ind w:leftChars="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22</w:t>
            </w:r>
          </w:p>
        </w:tc>
        <w:tc>
          <w:tcPr>
            <w:tcW w:w="4396" w:type="pct"/>
            <w:vAlign w:val="center"/>
          </w:tcPr>
          <w:p>
            <w:pPr>
              <w:keepNext w:val="0"/>
              <w:keepLines w:val="0"/>
              <w:pageBreakBefore w:val="0"/>
              <w:numPr>
                <w:ilvl w:val="0"/>
                <w:numId w:val="0"/>
              </w:numPr>
              <w:kinsoku/>
              <w:wordWrap/>
              <w:overflowPunct/>
              <w:topLinePunct w:val="0"/>
              <w:bidi w:val="0"/>
              <w:adjustRightInd/>
              <w:snapToGrid/>
              <w:spacing w:line="460" w:lineRule="exact"/>
              <w:ind w:leftChars="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rPr>
              <w:t>支持按条件筛选报表统计结果，包括批次、月份、药品名称、周期达标情况及当月达标情况等，支持报表统计数据导出。</w:t>
            </w:r>
          </w:p>
        </w:tc>
      </w:tr>
    </w:tbl>
    <w:p>
      <w:pPr>
        <w:numPr>
          <w:ilvl w:val="0"/>
          <w:numId w:val="0"/>
        </w:numPr>
        <w:shd w:val="clear" w:color="auto"/>
        <w:tabs>
          <w:tab w:val="left" w:pos="851"/>
        </w:tabs>
        <w:spacing w:line="460" w:lineRule="exact"/>
        <w:ind w:left="426" w:leftChars="0"/>
        <w:rPr>
          <w:rFonts w:hint="default" w:ascii="Times New Roman" w:hAnsi="Times New Roman" w:cs="Times New Roman"/>
          <w:color w:val="000000"/>
          <w:sz w:val="21"/>
          <w:szCs w:val="21"/>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jc w:val="left"/>
        <w:textAlignment w:val="auto"/>
        <w:outlineLvl w:val="2"/>
        <w:rPr>
          <w:rFonts w:hint="default"/>
          <w:sz w:val="24"/>
          <w:szCs w:val="24"/>
        </w:rPr>
      </w:pPr>
      <w:r>
        <w:rPr>
          <w:rFonts w:hint="eastAsia" w:ascii="Times New Roman" w:hAnsi="Times New Roman" w:eastAsia="宋体" w:cs="Times New Roman"/>
          <w:b/>
          <w:bCs/>
          <w:snapToGrid w:val="0"/>
          <w:kern w:val="0"/>
          <w:sz w:val="24"/>
          <w:szCs w:val="24"/>
          <w:lang w:val="en-US" w:eastAsia="zh-CN"/>
        </w:rPr>
        <w:t xml:space="preserve"> 服务要求</w:t>
      </w:r>
    </w:p>
    <w:p>
      <w:pPr>
        <w:numPr>
          <w:ilvl w:val="0"/>
          <w:numId w:val="0"/>
        </w:numPr>
        <w:shd w:val="clear" w:color="auto"/>
        <w:tabs>
          <w:tab w:val="left" w:pos="851"/>
        </w:tabs>
        <w:spacing w:line="460" w:lineRule="exact"/>
        <w:ind w:firstLine="420" w:firstLineChars="200"/>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 xml:space="preserve">3.1 </w:t>
      </w:r>
      <w:r>
        <w:rPr>
          <w:rFonts w:hint="default" w:ascii="Times New Roman" w:hAnsi="Times New Roman" w:cs="Times New Roman"/>
          <w:color w:val="000000"/>
          <w:sz w:val="21"/>
          <w:szCs w:val="21"/>
        </w:rPr>
        <w:t>投标人应充分考虑满足投标项目的建设要求，提出完整的项目管理、项目实施、项目培训、项目验收、售后服务方案。</w:t>
      </w:r>
    </w:p>
    <w:p>
      <w:pPr>
        <w:numPr>
          <w:ilvl w:val="0"/>
          <w:numId w:val="0"/>
        </w:numPr>
        <w:shd w:val="clear" w:color="auto"/>
        <w:tabs>
          <w:tab w:val="left" w:pos="851"/>
        </w:tabs>
        <w:spacing w:line="460" w:lineRule="exact"/>
        <w:ind w:left="426" w:leftChars="0"/>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 xml:space="preserve">3.2 </w:t>
      </w:r>
      <w:r>
        <w:rPr>
          <w:rFonts w:hint="default" w:ascii="Times New Roman" w:hAnsi="Times New Roman" w:cs="Times New Roman"/>
          <w:color w:val="000000"/>
          <w:sz w:val="21"/>
          <w:szCs w:val="21"/>
        </w:rPr>
        <w:t>投标人必须提供可靠的售后服务保障，保证提供长期、稳定的技术支持服务。</w:t>
      </w:r>
    </w:p>
    <w:p>
      <w:pPr>
        <w:numPr>
          <w:ilvl w:val="0"/>
          <w:numId w:val="0"/>
        </w:numPr>
        <w:shd w:val="clear" w:color="auto"/>
        <w:tabs>
          <w:tab w:val="left" w:pos="851"/>
        </w:tabs>
        <w:spacing w:line="460" w:lineRule="exact"/>
        <w:ind w:left="426" w:leftChars="0"/>
        <w:rPr>
          <w:rFonts w:hint="default" w:ascii="Times New Roman" w:hAnsi="Times New Roman" w:cs="Times New Roman"/>
          <w:color w:val="000000"/>
          <w:sz w:val="21"/>
          <w:szCs w:val="21"/>
        </w:rPr>
      </w:pPr>
      <w:r>
        <w:rPr>
          <w:rFonts w:hint="eastAsia" w:cs="Times New Roman"/>
          <w:color w:val="000000"/>
          <w:sz w:val="21"/>
          <w:szCs w:val="21"/>
          <w:lang w:val="en-US" w:eastAsia="zh-CN"/>
        </w:rPr>
        <w:t xml:space="preserve">3.3 </w:t>
      </w:r>
      <w:r>
        <w:rPr>
          <w:rFonts w:hint="eastAsia" w:cs="Times New Roman"/>
          <w:color w:val="000000"/>
          <w:sz w:val="21"/>
          <w:szCs w:val="21"/>
          <w:lang w:eastAsia="zh-CN"/>
        </w:rPr>
        <w:t>★</w:t>
      </w:r>
      <w:r>
        <w:rPr>
          <w:rFonts w:hint="default" w:ascii="Times New Roman" w:hAnsi="Times New Roman" w:cs="Times New Roman"/>
          <w:color w:val="000000"/>
          <w:sz w:val="21"/>
          <w:szCs w:val="21"/>
        </w:rPr>
        <w:t>项目实施中，应建立项目经理制度，项目经理应具有药学专业背景（执业药师），并在本单位工作二年以上，实施工程师应具有计算机专业背景），提供证明文件。</w:t>
      </w:r>
    </w:p>
    <w:p>
      <w:pPr>
        <w:numPr>
          <w:ilvl w:val="0"/>
          <w:numId w:val="0"/>
        </w:numPr>
        <w:shd w:val="clear" w:color="auto"/>
        <w:tabs>
          <w:tab w:val="left" w:pos="851"/>
        </w:tabs>
        <w:spacing w:line="460" w:lineRule="exact"/>
        <w:ind w:left="426" w:leftChars="0"/>
        <w:rPr>
          <w:rFonts w:hint="default" w:ascii="Times New Roman" w:hAnsi="Times New Roman" w:cs="Times New Roman"/>
          <w:color w:val="000000"/>
          <w:sz w:val="21"/>
          <w:szCs w:val="21"/>
        </w:rPr>
      </w:pPr>
      <w:r>
        <w:rPr>
          <w:rFonts w:hint="eastAsia" w:cs="Times New Roman"/>
          <w:color w:val="000000"/>
          <w:sz w:val="21"/>
          <w:szCs w:val="21"/>
          <w:lang w:val="en-US" w:eastAsia="zh-CN"/>
        </w:rPr>
        <w:t xml:space="preserve">3.4 </w:t>
      </w:r>
      <w:r>
        <w:rPr>
          <w:rFonts w:hint="eastAsia" w:cs="Times New Roman"/>
          <w:color w:val="000000"/>
          <w:sz w:val="21"/>
          <w:szCs w:val="21"/>
          <w:lang w:eastAsia="zh-CN"/>
        </w:rPr>
        <w:t>★</w:t>
      </w:r>
      <w:r>
        <w:rPr>
          <w:rFonts w:hint="default" w:ascii="Times New Roman" w:hAnsi="Times New Roman" w:cs="Times New Roman"/>
          <w:color w:val="000000"/>
          <w:sz w:val="21"/>
          <w:szCs w:val="21"/>
        </w:rPr>
        <w:t>售后服务过程中，药学服务和软件维护服务应分开管理，日常服务工作应由专业药学人员负责，软件维护服务由计算机专业人员负责，提供证明文件。</w:t>
      </w:r>
    </w:p>
    <w:p>
      <w:pPr>
        <w:pStyle w:val="4"/>
        <w:ind w:left="0" w:leftChars="0" w:firstLine="0" w:firstLineChars="0"/>
      </w:pPr>
    </w:p>
    <w:p>
      <w:pPr>
        <w:pStyle w:val="3"/>
      </w:pPr>
    </w:p>
    <w:p/>
    <w:p>
      <w:pPr>
        <w:pStyle w:val="2"/>
      </w:pPr>
    </w:p>
    <w:p>
      <w:pPr>
        <w:rPr>
          <w:rFonts w:hint="default" w:eastAsia="宋体"/>
          <w:lang w:val="en-US" w:eastAsia="zh-CN"/>
        </w:rPr>
      </w:pPr>
      <w:r>
        <w:rPr>
          <w:rFonts w:hint="eastAsia"/>
          <w:lang w:val="en-US" w:eastAsia="zh-CN"/>
        </w:rPr>
        <w:t>△为实质性指标 必须满足</w:t>
      </w:r>
      <w:r>
        <w:rPr>
          <w:rFonts w:hint="eastAsia"/>
          <w:lang w:val="en-US" w:eastAsia="zh-CN"/>
        </w:rPr>
        <w:br w:type="textWrapping"/>
      </w:r>
      <w:r>
        <w:rPr>
          <w:rFonts w:hint="eastAsia" w:cs="Times New Roman"/>
          <w:color w:val="000000"/>
          <w:sz w:val="21"/>
          <w:szCs w:val="21"/>
          <w:lang w:eastAsia="zh-CN"/>
        </w:rPr>
        <w:t>★</w:t>
      </w:r>
      <w:r>
        <w:rPr>
          <w:rFonts w:hint="eastAsia" w:cs="Times New Roman"/>
          <w:color w:val="000000"/>
          <w:sz w:val="21"/>
          <w:szCs w:val="21"/>
          <w:lang w:val="en-US" w:eastAsia="zh-CN"/>
        </w:rPr>
        <w:t>为扣分项， 功能模块不满足一项扣2-3分；服务要求项不满足一项扣1-2分。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B3E0F"/>
    <w:multiLevelType w:val="singleLevel"/>
    <w:tmpl w:val="A63B3E0F"/>
    <w:lvl w:ilvl="0" w:tentative="0">
      <w:start w:val="1"/>
      <w:numFmt w:val="decimal"/>
      <w:lvlText w:val="1.%1"/>
      <w:lvlJc w:val="left"/>
      <w:pPr>
        <w:tabs>
          <w:tab w:val="left" w:pos="420"/>
        </w:tabs>
        <w:ind w:left="425" w:hanging="425"/>
      </w:pPr>
      <w:rPr>
        <w:rFonts w:hint="default" w:ascii="宋体" w:hAnsi="宋体" w:eastAsia="宋体" w:cs="宋体"/>
        <w:sz w:val="21"/>
        <w:szCs w:val="21"/>
      </w:rPr>
    </w:lvl>
  </w:abstractNum>
  <w:abstractNum w:abstractNumId="1">
    <w:nsid w:val="15EE0A9B"/>
    <w:multiLevelType w:val="singleLevel"/>
    <w:tmpl w:val="15EE0A9B"/>
    <w:lvl w:ilvl="0" w:tentative="0">
      <w:start w:val="1"/>
      <w:numFmt w:val="decimal"/>
      <w:lvlText w:val="%1."/>
      <w:lvlJc w:val="left"/>
      <w:pPr>
        <w:ind w:left="425" w:hanging="425"/>
      </w:pPr>
      <w:rPr>
        <w:rFonts w:hint="default" w:ascii="宋体" w:hAnsi="宋体" w:eastAsia="宋体" w:cstheme="minorEastAsia"/>
        <w:b/>
        <w:bCs/>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ODQ4NTQ0YjNiMmIzODM3YWU2YzUyYWJkZGRjMWMifQ=="/>
  </w:docVars>
  <w:rsids>
    <w:rsidRoot w:val="7E3B4768"/>
    <w:rsid w:val="0FA762B4"/>
    <w:rsid w:val="7E3B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toc 6"/>
    <w:basedOn w:val="1"/>
    <w:next w:val="1"/>
    <w:qFormat/>
    <w:uiPriority w:val="0"/>
    <w:pPr>
      <w:ind w:left="1050"/>
      <w:jc w:val="left"/>
    </w:pPr>
    <w:rPr>
      <w:sz w:val="18"/>
      <w:szCs w:val="18"/>
    </w:rPr>
  </w:style>
  <w:style w:type="paragraph" w:styleId="4">
    <w:name w:val="Body Text First Indent"/>
    <w:basedOn w:val="2"/>
    <w:next w:val="3"/>
    <w:qFormat/>
    <w:uiPriority w:val="0"/>
    <w:pPr>
      <w:adjustRightInd/>
      <w:spacing w:after="120" w:line="240" w:lineRule="auto"/>
      <w:ind w:firstLine="420" w:firstLineChars="100"/>
      <w:jc w:val="both"/>
      <w:textAlignment w:val="auto"/>
    </w:pPr>
    <w:rPr>
      <w:rFonts w:ascii="Times New Roman" w:eastAsia="宋体"/>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2132</Words>
  <Characters>2175</Characters>
  <Lines>0</Lines>
  <Paragraphs>0</Paragraphs>
  <TotalTime>10</TotalTime>
  <ScaleCrop>false</ScaleCrop>
  <LinksUpToDate>false</LinksUpToDate>
  <CharactersWithSpaces>2187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2022-10-26T03:47:00Z</dcterms:created>
  <dc:creator> 锯锯草</dc:creator>
  <cp:lastModifiedBy> 锯锯草</cp:lastModifiedBy>
  <dcterms:modified xsi:type="dcterms:W3CDTF">2022-10-26T05:43:21Z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0911439D0DF5456E8089F8A9602580D2</vt:lpwstr>
  </property>
</Properties>
</file>