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C6CC1" w:rsidRDefault="00891AD1">
      <w:r>
        <w:rPr>
          <w:rFonts w:hint="eastAsia"/>
          <w:b/>
          <w:noProof/>
        </w:rPr>
        <w:drawing>
          <wp:anchor distT="0" distB="0" distL="114300" distR="114300" simplePos="0" relativeHeight="251659264" behindDoc="0" locked="0" layoutInCell="1" allowOverlap="1">
            <wp:simplePos x="0" y="0"/>
            <wp:positionH relativeFrom="column">
              <wp:posOffset>5267325</wp:posOffset>
            </wp:positionH>
            <wp:positionV relativeFrom="paragraph">
              <wp:posOffset>-3379470</wp:posOffset>
            </wp:positionV>
            <wp:extent cx="774700" cy="646430"/>
            <wp:effectExtent l="0" t="0" r="2540" b="8890"/>
            <wp:wrapNone/>
            <wp:docPr id="5" name="图片 1" descr="C:\Users\Wangdong\AppData\Roaming\Tencent\Users\4329658\QQ\WinTemp\RichOle\$1Z`0E7CT)Z(1H$0)%$27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Wangdong\AppData\Roaming\Tencent\Users\4329658\QQ\WinTemp\RichOle\$1Z`0E7CT)Z(1H$0)%$27D1.png"/>
                    <pic:cNvPicPr>
                      <a:picLocks noChangeAspect="1"/>
                    </pic:cNvPicPr>
                  </pic:nvPicPr>
                  <pic:blipFill>
                    <a:blip r:embed="rId5"/>
                    <a:stretch>
                      <a:fillRect/>
                    </a:stretch>
                  </pic:blipFill>
                  <pic:spPr>
                    <a:xfrm>
                      <a:off x="0" y="0"/>
                      <a:ext cx="774700" cy="646430"/>
                    </a:xfrm>
                    <a:prstGeom prst="rect">
                      <a:avLst/>
                    </a:prstGeom>
                    <a:noFill/>
                    <a:ln w="9525">
                      <a:noFill/>
                    </a:ln>
                  </pic:spPr>
                </pic:pic>
              </a:graphicData>
            </a:graphic>
          </wp:anchor>
        </w:drawing>
      </w:r>
    </w:p>
    <w:tbl>
      <w:tblPr>
        <w:tblStyle w:val="a6"/>
        <w:tblW w:w="9178"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8068"/>
      </w:tblGrid>
      <w:tr w:rsidR="00FC6CC1">
        <w:tc>
          <w:tcPr>
            <w:tcW w:w="1110" w:type="dxa"/>
            <w:vAlign w:val="center"/>
          </w:tcPr>
          <w:p w:rsidR="00FC6CC1" w:rsidRDefault="00891AD1">
            <w:pPr>
              <w:spacing w:after="156"/>
              <w:jc w:val="center"/>
              <w:rPr>
                <w:rFonts w:ascii="楷体" w:eastAsia="楷体" w:hAnsi="楷体" w:cs="楷体"/>
              </w:rPr>
            </w:pPr>
            <w:r>
              <w:rPr>
                <w:rFonts w:ascii="楷体" w:eastAsia="楷体" w:hAnsi="楷体" w:cs="楷体" w:hint="eastAsia"/>
                <w:szCs w:val="21"/>
              </w:rPr>
              <w:t>序号</w:t>
            </w:r>
          </w:p>
        </w:tc>
        <w:tc>
          <w:tcPr>
            <w:tcW w:w="8068" w:type="dxa"/>
            <w:vAlign w:val="center"/>
          </w:tcPr>
          <w:p w:rsidR="00FC6CC1" w:rsidRDefault="005874A7">
            <w:pPr>
              <w:spacing w:after="156"/>
              <w:jc w:val="center"/>
              <w:rPr>
                <w:rFonts w:ascii="楷体" w:eastAsia="楷体" w:hAnsi="楷体" w:cs="楷体"/>
              </w:rPr>
            </w:pPr>
            <w:r>
              <w:rPr>
                <w:rFonts w:ascii="楷体" w:eastAsia="楷体" w:hAnsi="楷体" w:cs="楷体" w:hint="eastAsia"/>
                <w:szCs w:val="21"/>
              </w:rPr>
              <w:t>招标需求</w:t>
            </w:r>
          </w:p>
        </w:tc>
      </w:tr>
      <w:tr w:rsidR="00FC6CC1">
        <w:trPr>
          <w:trHeight w:val="394"/>
        </w:trPr>
        <w:tc>
          <w:tcPr>
            <w:tcW w:w="1110" w:type="dxa"/>
            <w:vAlign w:val="center"/>
          </w:tcPr>
          <w:p w:rsidR="00FC6CC1" w:rsidRDefault="00891AD1">
            <w:pPr>
              <w:jc w:val="center"/>
              <w:rPr>
                <w:rFonts w:ascii="楷体" w:eastAsia="楷体" w:hAnsi="楷体" w:cs="楷体"/>
                <w:szCs w:val="21"/>
              </w:rPr>
            </w:pPr>
            <w:r>
              <w:rPr>
                <w:rFonts w:ascii="楷体" w:eastAsia="楷体" w:hAnsi="楷体" w:cs="楷体" w:hint="eastAsia"/>
                <w:szCs w:val="21"/>
              </w:rPr>
              <w:t>1</w:t>
            </w:r>
          </w:p>
        </w:tc>
        <w:tc>
          <w:tcPr>
            <w:tcW w:w="8068" w:type="dxa"/>
            <w:vAlign w:val="center"/>
          </w:tcPr>
          <w:p w:rsidR="00FC6CC1" w:rsidRDefault="00891AD1">
            <w:pPr>
              <w:rPr>
                <w:rFonts w:ascii="楷体" w:eastAsia="楷体" w:hAnsi="楷体" w:cs="楷体"/>
                <w:szCs w:val="21"/>
              </w:rPr>
            </w:pPr>
            <w:r>
              <w:rPr>
                <w:rFonts w:ascii="楷体" w:eastAsia="楷体" w:hAnsi="楷体" w:cs="楷体" w:hint="eastAsia"/>
                <w:bCs/>
                <w:szCs w:val="21"/>
              </w:rPr>
              <w:t>配置要求</w:t>
            </w:r>
          </w:p>
        </w:tc>
      </w:tr>
      <w:tr w:rsidR="00FC6CC1">
        <w:tc>
          <w:tcPr>
            <w:tcW w:w="1110" w:type="dxa"/>
            <w:vAlign w:val="center"/>
          </w:tcPr>
          <w:p w:rsidR="00FC6CC1" w:rsidRDefault="00891AD1">
            <w:pPr>
              <w:jc w:val="center"/>
              <w:rPr>
                <w:rFonts w:ascii="楷体" w:eastAsia="楷体" w:hAnsi="楷体" w:cs="楷体"/>
                <w:szCs w:val="21"/>
              </w:rPr>
            </w:pPr>
            <w:r>
              <w:rPr>
                <w:rFonts w:ascii="楷体" w:eastAsia="楷体" w:hAnsi="楷体" w:cs="楷体" w:hint="eastAsia"/>
                <w:szCs w:val="21"/>
              </w:rPr>
              <w:t>1.1</w:t>
            </w:r>
          </w:p>
        </w:tc>
        <w:tc>
          <w:tcPr>
            <w:tcW w:w="8068" w:type="dxa"/>
            <w:vAlign w:val="center"/>
          </w:tcPr>
          <w:p w:rsidR="00FC6CC1" w:rsidRDefault="00891AD1">
            <w:pPr>
              <w:rPr>
                <w:rFonts w:ascii="楷体" w:eastAsia="楷体" w:hAnsi="楷体" w:cs="楷体"/>
                <w:szCs w:val="21"/>
              </w:rPr>
            </w:pPr>
            <w:r>
              <w:rPr>
                <w:rFonts w:ascii="楷体" w:eastAsia="楷体" w:hAnsi="楷体" w:cs="楷体" w:hint="eastAsia"/>
                <w:bCs/>
                <w:szCs w:val="21"/>
              </w:rPr>
              <w:t>主机1台</w:t>
            </w:r>
          </w:p>
        </w:tc>
      </w:tr>
      <w:tr w:rsidR="00FC6CC1">
        <w:tc>
          <w:tcPr>
            <w:tcW w:w="1110" w:type="dxa"/>
            <w:vAlign w:val="center"/>
          </w:tcPr>
          <w:p w:rsidR="00FC6CC1" w:rsidRDefault="00891AD1">
            <w:pPr>
              <w:jc w:val="center"/>
              <w:rPr>
                <w:rFonts w:ascii="楷体" w:eastAsia="楷体" w:hAnsi="楷体" w:cs="楷体"/>
                <w:szCs w:val="21"/>
              </w:rPr>
            </w:pPr>
            <w:r>
              <w:rPr>
                <w:rFonts w:ascii="楷体" w:eastAsia="楷体" w:hAnsi="楷体" w:cs="楷体" w:hint="eastAsia"/>
                <w:szCs w:val="21"/>
              </w:rPr>
              <w:t>1.2</w:t>
            </w:r>
          </w:p>
        </w:tc>
        <w:tc>
          <w:tcPr>
            <w:tcW w:w="8068" w:type="dxa"/>
            <w:vAlign w:val="center"/>
          </w:tcPr>
          <w:p w:rsidR="00FC6CC1" w:rsidRDefault="00891AD1">
            <w:pPr>
              <w:rPr>
                <w:rFonts w:ascii="楷体" w:eastAsia="楷体" w:hAnsi="楷体" w:cs="楷体"/>
                <w:szCs w:val="21"/>
              </w:rPr>
            </w:pPr>
            <w:r>
              <w:rPr>
                <w:rFonts w:ascii="楷体" w:eastAsia="楷体" w:hAnsi="楷体" w:cs="楷体" w:hint="eastAsia"/>
                <w:bCs/>
                <w:szCs w:val="21"/>
              </w:rPr>
              <w:t>诱发电位监测模块1套</w:t>
            </w:r>
          </w:p>
        </w:tc>
      </w:tr>
      <w:tr w:rsidR="00FC6CC1">
        <w:tc>
          <w:tcPr>
            <w:tcW w:w="1110" w:type="dxa"/>
            <w:vAlign w:val="center"/>
          </w:tcPr>
          <w:p w:rsidR="00FC6CC1" w:rsidRDefault="00891AD1">
            <w:pPr>
              <w:jc w:val="center"/>
              <w:rPr>
                <w:rFonts w:ascii="楷体" w:eastAsia="楷体" w:hAnsi="楷体" w:cs="楷体"/>
                <w:szCs w:val="21"/>
              </w:rPr>
            </w:pPr>
            <w:r>
              <w:rPr>
                <w:rFonts w:ascii="楷体" w:eastAsia="楷体" w:hAnsi="楷体" w:cs="楷体" w:hint="eastAsia"/>
                <w:szCs w:val="21"/>
              </w:rPr>
              <w:t>1.3</w:t>
            </w:r>
          </w:p>
        </w:tc>
        <w:tc>
          <w:tcPr>
            <w:tcW w:w="8068" w:type="dxa"/>
            <w:vAlign w:val="center"/>
          </w:tcPr>
          <w:p w:rsidR="00FC6CC1" w:rsidRDefault="00891AD1">
            <w:pPr>
              <w:rPr>
                <w:rFonts w:ascii="楷体" w:eastAsia="楷体" w:hAnsi="楷体" w:cs="楷体"/>
                <w:szCs w:val="21"/>
              </w:rPr>
            </w:pPr>
            <w:r>
              <w:rPr>
                <w:rFonts w:ascii="楷体" w:eastAsia="楷体" w:hAnsi="楷体" w:cs="楷体" w:hint="eastAsia"/>
                <w:bCs/>
                <w:szCs w:val="21"/>
              </w:rPr>
              <w:t>刺激线圈2个</w:t>
            </w:r>
          </w:p>
        </w:tc>
        <w:bookmarkStart w:id="0" w:name="_GoBack"/>
        <w:bookmarkEnd w:id="0"/>
      </w:tr>
      <w:tr w:rsidR="00FC6CC1">
        <w:tc>
          <w:tcPr>
            <w:tcW w:w="1110" w:type="dxa"/>
            <w:vAlign w:val="center"/>
          </w:tcPr>
          <w:p w:rsidR="00FC6CC1" w:rsidRDefault="00891AD1">
            <w:pPr>
              <w:jc w:val="center"/>
              <w:rPr>
                <w:rFonts w:ascii="楷体" w:eastAsia="楷体" w:hAnsi="楷体" w:cs="楷体"/>
                <w:szCs w:val="21"/>
              </w:rPr>
            </w:pPr>
            <w:r>
              <w:rPr>
                <w:rFonts w:ascii="楷体" w:eastAsia="楷体" w:hAnsi="楷体" w:cs="楷体" w:hint="eastAsia"/>
                <w:szCs w:val="21"/>
              </w:rPr>
              <w:t>1.4</w:t>
            </w:r>
          </w:p>
        </w:tc>
        <w:tc>
          <w:tcPr>
            <w:tcW w:w="8068" w:type="dxa"/>
            <w:vAlign w:val="center"/>
          </w:tcPr>
          <w:p w:rsidR="00FC6CC1" w:rsidRDefault="00891AD1">
            <w:pPr>
              <w:rPr>
                <w:rFonts w:ascii="楷体" w:eastAsia="楷体" w:hAnsi="楷体" w:cs="楷体"/>
                <w:szCs w:val="21"/>
              </w:rPr>
            </w:pPr>
            <w:r>
              <w:rPr>
                <w:rFonts w:ascii="楷体" w:eastAsia="楷体" w:hAnsi="楷体" w:cs="楷体" w:hint="eastAsia"/>
                <w:bCs/>
                <w:szCs w:val="21"/>
              </w:rPr>
              <w:t>刺激固定装置1套（含定位帽5个）</w:t>
            </w:r>
          </w:p>
        </w:tc>
      </w:tr>
      <w:tr w:rsidR="00FC6CC1">
        <w:tc>
          <w:tcPr>
            <w:tcW w:w="1110" w:type="dxa"/>
            <w:vAlign w:val="center"/>
          </w:tcPr>
          <w:p w:rsidR="00FC6CC1" w:rsidRDefault="00891AD1">
            <w:pPr>
              <w:jc w:val="center"/>
              <w:rPr>
                <w:rFonts w:ascii="楷体" w:eastAsia="楷体" w:hAnsi="楷体" w:cs="楷体"/>
                <w:szCs w:val="21"/>
              </w:rPr>
            </w:pPr>
            <w:r>
              <w:rPr>
                <w:rFonts w:ascii="楷体" w:eastAsia="楷体" w:hAnsi="楷体" w:cs="楷体" w:hint="eastAsia"/>
                <w:szCs w:val="21"/>
              </w:rPr>
              <w:t>1.5</w:t>
            </w:r>
          </w:p>
        </w:tc>
        <w:tc>
          <w:tcPr>
            <w:tcW w:w="8068" w:type="dxa"/>
            <w:vAlign w:val="center"/>
          </w:tcPr>
          <w:p w:rsidR="00FC6CC1" w:rsidRDefault="00891AD1">
            <w:pPr>
              <w:rPr>
                <w:rFonts w:ascii="楷体" w:eastAsia="楷体" w:hAnsi="楷体" w:cs="楷体"/>
                <w:szCs w:val="21"/>
              </w:rPr>
            </w:pPr>
            <w:r>
              <w:rPr>
                <w:rFonts w:ascii="楷体" w:eastAsia="楷体" w:hAnsi="楷体" w:cs="楷体" w:hint="eastAsia"/>
                <w:bCs/>
                <w:szCs w:val="21"/>
              </w:rPr>
              <w:t>计算机工作站1套</w:t>
            </w:r>
          </w:p>
        </w:tc>
      </w:tr>
      <w:tr w:rsidR="00FC6CC1">
        <w:tc>
          <w:tcPr>
            <w:tcW w:w="1110" w:type="dxa"/>
            <w:vAlign w:val="center"/>
          </w:tcPr>
          <w:p w:rsidR="00FC6CC1" w:rsidRDefault="00891AD1">
            <w:pPr>
              <w:jc w:val="center"/>
              <w:rPr>
                <w:rFonts w:ascii="楷体" w:eastAsia="楷体" w:hAnsi="楷体" w:cs="楷体"/>
                <w:szCs w:val="21"/>
              </w:rPr>
            </w:pPr>
            <w:r>
              <w:rPr>
                <w:rFonts w:ascii="楷体" w:eastAsia="楷体" w:hAnsi="楷体" w:cs="楷体" w:hint="eastAsia"/>
                <w:szCs w:val="21"/>
              </w:rPr>
              <w:t>1.6</w:t>
            </w:r>
          </w:p>
        </w:tc>
        <w:tc>
          <w:tcPr>
            <w:tcW w:w="8068" w:type="dxa"/>
            <w:vAlign w:val="center"/>
          </w:tcPr>
          <w:p w:rsidR="00FC6CC1" w:rsidRDefault="00891AD1">
            <w:pPr>
              <w:rPr>
                <w:rFonts w:ascii="楷体" w:eastAsia="楷体" w:hAnsi="楷体" w:cs="楷体"/>
                <w:szCs w:val="21"/>
              </w:rPr>
            </w:pPr>
            <w:r>
              <w:rPr>
                <w:rFonts w:ascii="楷体" w:eastAsia="楷体" w:hAnsi="楷体" w:cs="楷体" w:hint="eastAsia"/>
                <w:bCs/>
                <w:szCs w:val="21"/>
              </w:rPr>
              <w:t>投标商应提供设备正常运行所需的其它附件</w:t>
            </w:r>
          </w:p>
        </w:tc>
      </w:tr>
      <w:tr w:rsidR="00FC6CC1">
        <w:tc>
          <w:tcPr>
            <w:tcW w:w="1110" w:type="dxa"/>
            <w:vAlign w:val="center"/>
          </w:tcPr>
          <w:p w:rsidR="00FC6CC1" w:rsidRDefault="00891AD1">
            <w:pPr>
              <w:jc w:val="center"/>
              <w:rPr>
                <w:rFonts w:ascii="楷体" w:eastAsia="楷体" w:hAnsi="楷体" w:cs="楷体"/>
                <w:szCs w:val="21"/>
              </w:rPr>
            </w:pPr>
            <w:r>
              <w:rPr>
                <w:rFonts w:ascii="楷体" w:eastAsia="楷体" w:hAnsi="楷体" w:cs="楷体" w:hint="eastAsia"/>
                <w:szCs w:val="21"/>
              </w:rPr>
              <w:t>2</w:t>
            </w:r>
          </w:p>
        </w:tc>
        <w:tc>
          <w:tcPr>
            <w:tcW w:w="8068" w:type="dxa"/>
            <w:vAlign w:val="center"/>
          </w:tcPr>
          <w:p w:rsidR="00FC6CC1" w:rsidRDefault="00891AD1">
            <w:pPr>
              <w:rPr>
                <w:rFonts w:ascii="楷体" w:eastAsia="楷体" w:hAnsi="楷体" w:cs="楷体"/>
                <w:szCs w:val="21"/>
              </w:rPr>
            </w:pPr>
            <w:r>
              <w:rPr>
                <w:rFonts w:ascii="楷体" w:eastAsia="楷体" w:hAnsi="楷体" w:cs="楷体" w:hint="eastAsia"/>
                <w:bCs/>
                <w:szCs w:val="21"/>
              </w:rPr>
              <w:t>主要技术参数要求</w:t>
            </w:r>
          </w:p>
        </w:tc>
      </w:tr>
      <w:tr w:rsidR="00FC6CC1">
        <w:tc>
          <w:tcPr>
            <w:tcW w:w="1110" w:type="dxa"/>
            <w:vAlign w:val="center"/>
          </w:tcPr>
          <w:p w:rsidR="00FC6CC1" w:rsidRDefault="00891AD1">
            <w:pPr>
              <w:jc w:val="center"/>
              <w:rPr>
                <w:rFonts w:ascii="楷体" w:eastAsia="楷体" w:hAnsi="楷体" w:cs="楷体"/>
                <w:bCs/>
                <w:szCs w:val="21"/>
              </w:rPr>
            </w:pPr>
            <w:r>
              <w:rPr>
                <w:rFonts w:ascii="楷体" w:eastAsia="楷体" w:hAnsi="楷体" w:cs="楷体" w:hint="eastAsia"/>
                <w:bCs/>
                <w:szCs w:val="21"/>
              </w:rPr>
              <w:t>2.1</w:t>
            </w:r>
          </w:p>
        </w:tc>
        <w:tc>
          <w:tcPr>
            <w:tcW w:w="8068" w:type="dxa"/>
            <w:vAlign w:val="center"/>
          </w:tcPr>
          <w:p w:rsidR="00FC6CC1" w:rsidRDefault="003B3AB6">
            <w:pPr>
              <w:jc w:val="left"/>
              <w:rPr>
                <w:rFonts w:ascii="楷体" w:eastAsia="楷体" w:hAnsi="楷体" w:cs="楷体"/>
                <w:bCs/>
                <w:szCs w:val="21"/>
              </w:rPr>
            </w:pPr>
            <w:r>
              <w:rPr>
                <w:rFonts w:ascii="楷体" w:eastAsia="楷体" w:hAnsi="楷体" w:cs="楷体" w:hint="eastAsia"/>
                <w:bCs/>
                <w:szCs w:val="21"/>
              </w:rPr>
              <w:t>适用范围：</w:t>
            </w:r>
            <w:r w:rsidR="002D3A60">
              <w:rPr>
                <w:rFonts w:ascii="楷体" w:eastAsia="楷体" w:hAnsi="楷体" w:cs="楷体" w:hint="eastAsia"/>
                <w:bCs/>
                <w:szCs w:val="21"/>
              </w:rPr>
              <w:t>用于中枢或外周神经疾病的检测与康复治疗</w:t>
            </w:r>
          </w:p>
        </w:tc>
      </w:tr>
      <w:tr w:rsidR="00FC6CC1">
        <w:tc>
          <w:tcPr>
            <w:tcW w:w="1110" w:type="dxa"/>
            <w:vAlign w:val="center"/>
          </w:tcPr>
          <w:p w:rsidR="00FC6CC1" w:rsidRDefault="00891AD1">
            <w:pPr>
              <w:jc w:val="center"/>
              <w:rPr>
                <w:rFonts w:ascii="楷体" w:eastAsia="楷体" w:hAnsi="楷体" w:cs="楷体"/>
                <w:szCs w:val="21"/>
              </w:rPr>
            </w:pPr>
            <w:r>
              <w:rPr>
                <w:rFonts w:ascii="楷体" w:eastAsia="楷体" w:hAnsi="楷体" w:cs="楷体" w:hint="eastAsia"/>
                <w:szCs w:val="21"/>
              </w:rPr>
              <w:t>2.2</w:t>
            </w:r>
          </w:p>
        </w:tc>
        <w:tc>
          <w:tcPr>
            <w:tcW w:w="8068" w:type="dxa"/>
            <w:vAlign w:val="center"/>
          </w:tcPr>
          <w:p w:rsidR="00FC6CC1" w:rsidRDefault="00891AD1">
            <w:pPr>
              <w:rPr>
                <w:rFonts w:ascii="楷体" w:eastAsia="楷体" w:hAnsi="楷体" w:cs="楷体"/>
                <w:szCs w:val="21"/>
              </w:rPr>
            </w:pPr>
            <w:r>
              <w:rPr>
                <w:rFonts w:ascii="楷体" w:eastAsia="楷体" w:hAnsi="楷体" w:cs="楷体" w:hint="eastAsia"/>
                <w:bCs/>
                <w:szCs w:val="21"/>
              </w:rPr>
              <w:t>刺激线圈磁感应强度调节范围≥0-4T</w:t>
            </w:r>
          </w:p>
        </w:tc>
      </w:tr>
      <w:tr w:rsidR="00FC6CC1">
        <w:tc>
          <w:tcPr>
            <w:tcW w:w="1110" w:type="dxa"/>
            <w:vAlign w:val="center"/>
          </w:tcPr>
          <w:p w:rsidR="00FC6CC1" w:rsidRDefault="00891AD1">
            <w:pPr>
              <w:jc w:val="center"/>
              <w:rPr>
                <w:rFonts w:ascii="楷体" w:eastAsia="楷体" w:hAnsi="楷体" w:cs="楷体"/>
                <w:szCs w:val="21"/>
              </w:rPr>
            </w:pPr>
            <w:r>
              <w:rPr>
                <w:rFonts w:ascii="楷体" w:eastAsia="楷体" w:hAnsi="楷体" w:cs="楷体" w:hint="eastAsia"/>
                <w:szCs w:val="21"/>
              </w:rPr>
              <w:t>2.3</w:t>
            </w:r>
          </w:p>
        </w:tc>
        <w:tc>
          <w:tcPr>
            <w:tcW w:w="8068" w:type="dxa"/>
            <w:vAlign w:val="center"/>
          </w:tcPr>
          <w:p w:rsidR="00FC6CC1" w:rsidRDefault="00891AD1">
            <w:pPr>
              <w:rPr>
                <w:rFonts w:ascii="楷体" w:eastAsia="楷体" w:hAnsi="楷体" w:cs="楷体"/>
                <w:szCs w:val="21"/>
              </w:rPr>
            </w:pPr>
            <w:r>
              <w:rPr>
                <w:rFonts w:ascii="楷体" w:eastAsia="楷体" w:hAnsi="楷体" w:cs="楷体" w:hint="eastAsia"/>
                <w:bCs/>
                <w:szCs w:val="21"/>
              </w:rPr>
              <w:t xml:space="preserve">最大输出脉冲频率≥100Hz </w:t>
            </w:r>
          </w:p>
        </w:tc>
      </w:tr>
      <w:tr w:rsidR="00FC6CC1">
        <w:tc>
          <w:tcPr>
            <w:tcW w:w="1110" w:type="dxa"/>
            <w:vAlign w:val="center"/>
          </w:tcPr>
          <w:p w:rsidR="00FC6CC1" w:rsidRDefault="00891AD1">
            <w:pPr>
              <w:jc w:val="center"/>
              <w:rPr>
                <w:rFonts w:ascii="楷体" w:eastAsia="楷体" w:hAnsi="楷体" w:cs="楷体"/>
                <w:szCs w:val="21"/>
              </w:rPr>
            </w:pPr>
            <w:r>
              <w:rPr>
                <w:rFonts w:ascii="楷体" w:eastAsia="楷体" w:hAnsi="楷体" w:cs="楷体" w:hint="eastAsia"/>
                <w:szCs w:val="21"/>
              </w:rPr>
              <w:t>2.4</w:t>
            </w:r>
          </w:p>
        </w:tc>
        <w:tc>
          <w:tcPr>
            <w:tcW w:w="8068" w:type="dxa"/>
            <w:vAlign w:val="center"/>
          </w:tcPr>
          <w:p w:rsidR="00FC6CC1" w:rsidRDefault="00891AD1">
            <w:pPr>
              <w:rPr>
                <w:rFonts w:ascii="楷体" w:eastAsia="楷体" w:hAnsi="楷体" w:cs="楷体"/>
                <w:szCs w:val="21"/>
              </w:rPr>
            </w:pPr>
            <w:r>
              <w:rPr>
                <w:rFonts w:ascii="楷体" w:eastAsia="楷体" w:hAnsi="楷体" w:cs="楷体" w:hint="eastAsia"/>
                <w:bCs/>
                <w:szCs w:val="21"/>
              </w:rPr>
              <w:t>磁感应强度最大变化率≥80kT/s</w:t>
            </w:r>
          </w:p>
        </w:tc>
      </w:tr>
      <w:tr w:rsidR="00FC6CC1">
        <w:tc>
          <w:tcPr>
            <w:tcW w:w="1110" w:type="dxa"/>
            <w:vAlign w:val="center"/>
          </w:tcPr>
          <w:p w:rsidR="00FC6CC1" w:rsidRDefault="00891AD1">
            <w:pPr>
              <w:jc w:val="center"/>
              <w:rPr>
                <w:rFonts w:ascii="楷体" w:eastAsia="楷体" w:hAnsi="楷体" w:cs="楷体"/>
                <w:szCs w:val="21"/>
              </w:rPr>
            </w:pPr>
            <w:r>
              <w:rPr>
                <w:rFonts w:ascii="楷体" w:eastAsia="楷体" w:hAnsi="楷体" w:cs="楷体" w:hint="eastAsia"/>
                <w:szCs w:val="21"/>
              </w:rPr>
              <w:t>2.5</w:t>
            </w:r>
          </w:p>
        </w:tc>
        <w:tc>
          <w:tcPr>
            <w:tcW w:w="8068" w:type="dxa"/>
            <w:vAlign w:val="center"/>
          </w:tcPr>
          <w:p w:rsidR="00FC6CC1" w:rsidRDefault="00891AD1">
            <w:pPr>
              <w:rPr>
                <w:rFonts w:ascii="楷体" w:eastAsia="楷体" w:hAnsi="楷体" w:cs="楷体"/>
                <w:szCs w:val="21"/>
              </w:rPr>
            </w:pPr>
            <w:r>
              <w:rPr>
                <w:rFonts w:ascii="楷体" w:eastAsia="楷体" w:hAnsi="楷体" w:cs="楷体" w:hint="eastAsia"/>
                <w:bCs/>
                <w:szCs w:val="21"/>
              </w:rPr>
              <w:t>详细注明脉冲上升时间和脉冲宽度</w:t>
            </w:r>
          </w:p>
        </w:tc>
      </w:tr>
      <w:tr w:rsidR="00FC6CC1">
        <w:tc>
          <w:tcPr>
            <w:tcW w:w="1110" w:type="dxa"/>
            <w:vAlign w:val="center"/>
          </w:tcPr>
          <w:p w:rsidR="00FC6CC1" w:rsidRDefault="00891AD1">
            <w:pPr>
              <w:jc w:val="center"/>
              <w:rPr>
                <w:rFonts w:ascii="楷体" w:eastAsia="楷体" w:hAnsi="楷体" w:cs="楷体"/>
                <w:szCs w:val="21"/>
              </w:rPr>
            </w:pPr>
            <w:r>
              <w:rPr>
                <w:rFonts w:ascii="楷体" w:eastAsia="楷体" w:hAnsi="楷体" w:cs="楷体" w:hint="eastAsia"/>
                <w:szCs w:val="21"/>
              </w:rPr>
              <w:t>2.6</w:t>
            </w:r>
          </w:p>
        </w:tc>
        <w:tc>
          <w:tcPr>
            <w:tcW w:w="8068" w:type="dxa"/>
            <w:vAlign w:val="center"/>
          </w:tcPr>
          <w:p w:rsidR="00FC6CC1" w:rsidRDefault="00891AD1">
            <w:pPr>
              <w:rPr>
                <w:rFonts w:ascii="楷体" w:eastAsia="楷体" w:hAnsi="楷体" w:cs="楷体"/>
                <w:szCs w:val="21"/>
              </w:rPr>
            </w:pPr>
            <w:r>
              <w:rPr>
                <w:rFonts w:ascii="楷体" w:eastAsia="楷体" w:hAnsi="楷体" w:cs="楷体" w:hint="eastAsia"/>
                <w:bCs/>
                <w:szCs w:val="21"/>
              </w:rPr>
              <w:t>整机通过电磁兼容性EMC测试</w:t>
            </w:r>
          </w:p>
        </w:tc>
      </w:tr>
      <w:tr w:rsidR="00FC6CC1">
        <w:tc>
          <w:tcPr>
            <w:tcW w:w="1110" w:type="dxa"/>
            <w:vAlign w:val="center"/>
          </w:tcPr>
          <w:p w:rsidR="00FC6CC1" w:rsidRDefault="00891AD1">
            <w:pPr>
              <w:jc w:val="center"/>
              <w:rPr>
                <w:rFonts w:ascii="楷体" w:eastAsia="楷体" w:hAnsi="楷体" w:cs="楷体"/>
                <w:szCs w:val="21"/>
              </w:rPr>
            </w:pPr>
            <w:r>
              <w:rPr>
                <w:rFonts w:ascii="楷体" w:eastAsia="楷体" w:hAnsi="楷体" w:cs="楷体" w:hint="eastAsia"/>
                <w:szCs w:val="21"/>
              </w:rPr>
              <w:t>2.7</w:t>
            </w:r>
          </w:p>
        </w:tc>
        <w:tc>
          <w:tcPr>
            <w:tcW w:w="8068" w:type="dxa"/>
            <w:vAlign w:val="center"/>
          </w:tcPr>
          <w:p w:rsidR="00FC6CC1" w:rsidRDefault="00891AD1">
            <w:pPr>
              <w:rPr>
                <w:rFonts w:ascii="楷体" w:eastAsia="楷体" w:hAnsi="楷体" w:cs="楷体"/>
                <w:szCs w:val="21"/>
              </w:rPr>
            </w:pPr>
            <w:r>
              <w:rPr>
                <w:rFonts w:ascii="楷体" w:eastAsia="楷体" w:hAnsi="楷体" w:cs="楷体" w:hint="eastAsia"/>
                <w:bCs/>
                <w:szCs w:val="21"/>
              </w:rPr>
              <w:t>诱发电位监测模块</w:t>
            </w:r>
          </w:p>
        </w:tc>
      </w:tr>
      <w:tr w:rsidR="00FC6CC1">
        <w:tc>
          <w:tcPr>
            <w:tcW w:w="1110" w:type="dxa"/>
            <w:vAlign w:val="center"/>
          </w:tcPr>
          <w:p w:rsidR="00FC6CC1" w:rsidRDefault="00891AD1">
            <w:pPr>
              <w:jc w:val="center"/>
              <w:rPr>
                <w:rFonts w:ascii="楷体" w:eastAsia="楷体" w:hAnsi="楷体" w:cs="楷体"/>
                <w:szCs w:val="21"/>
              </w:rPr>
            </w:pPr>
            <w:r>
              <w:rPr>
                <w:rFonts w:ascii="楷体" w:eastAsia="楷体" w:hAnsi="楷体" w:cs="楷体" w:hint="eastAsia"/>
                <w:szCs w:val="21"/>
              </w:rPr>
              <w:t>2.8</w:t>
            </w:r>
          </w:p>
        </w:tc>
        <w:tc>
          <w:tcPr>
            <w:tcW w:w="8068" w:type="dxa"/>
            <w:vAlign w:val="center"/>
          </w:tcPr>
          <w:p w:rsidR="00FC6CC1" w:rsidRDefault="00891AD1">
            <w:pPr>
              <w:rPr>
                <w:rFonts w:ascii="楷体" w:eastAsia="楷体" w:hAnsi="楷体" w:cs="楷体"/>
                <w:szCs w:val="21"/>
              </w:rPr>
            </w:pPr>
            <w:r>
              <w:rPr>
                <w:rFonts w:ascii="楷体" w:eastAsia="楷体" w:hAnsi="楷体" w:cs="楷体" w:hint="eastAsia"/>
                <w:bCs/>
                <w:szCs w:val="21"/>
              </w:rPr>
              <w:t>通道数≥2通道</w:t>
            </w:r>
          </w:p>
        </w:tc>
      </w:tr>
      <w:tr w:rsidR="00FC6CC1">
        <w:tc>
          <w:tcPr>
            <w:tcW w:w="1110" w:type="dxa"/>
            <w:vAlign w:val="center"/>
          </w:tcPr>
          <w:p w:rsidR="00FC6CC1" w:rsidRDefault="00891AD1">
            <w:pPr>
              <w:jc w:val="center"/>
              <w:rPr>
                <w:rFonts w:ascii="楷体" w:eastAsia="楷体" w:hAnsi="楷体" w:cs="楷体"/>
                <w:szCs w:val="21"/>
              </w:rPr>
            </w:pPr>
            <w:r>
              <w:rPr>
                <w:rFonts w:ascii="楷体" w:eastAsia="楷体" w:hAnsi="楷体" w:cs="楷体" w:hint="eastAsia"/>
                <w:szCs w:val="21"/>
              </w:rPr>
              <w:t>2.9</w:t>
            </w:r>
          </w:p>
        </w:tc>
        <w:tc>
          <w:tcPr>
            <w:tcW w:w="8068" w:type="dxa"/>
            <w:vAlign w:val="center"/>
          </w:tcPr>
          <w:p w:rsidR="00FC6CC1" w:rsidRDefault="00891AD1">
            <w:pPr>
              <w:rPr>
                <w:rFonts w:ascii="楷体" w:eastAsia="楷体" w:hAnsi="楷体" w:cs="楷体"/>
                <w:szCs w:val="21"/>
              </w:rPr>
            </w:pPr>
            <w:r>
              <w:rPr>
                <w:rFonts w:ascii="楷体" w:eastAsia="楷体" w:hAnsi="楷体" w:cs="楷体" w:hint="eastAsia"/>
                <w:bCs/>
                <w:szCs w:val="21"/>
              </w:rPr>
              <w:t>采样率≥2kHz</w:t>
            </w:r>
          </w:p>
        </w:tc>
      </w:tr>
      <w:tr w:rsidR="00FC6CC1">
        <w:tc>
          <w:tcPr>
            <w:tcW w:w="1110" w:type="dxa"/>
            <w:vAlign w:val="center"/>
          </w:tcPr>
          <w:p w:rsidR="00FC6CC1" w:rsidRDefault="00891AD1">
            <w:pPr>
              <w:jc w:val="center"/>
              <w:rPr>
                <w:rFonts w:ascii="楷体" w:eastAsia="楷体" w:hAnsi="楷体" w:cs="楷体"/>
                <w:szCs w:val="21"/>
              </w:rPr>
            </w:pPr>
            <w:r>
              <w:rPr>
                <w:rFonts w:ascii="楷体" w:eastAsia="楷体" w:hAnsi="楷体" w:cs="楷体" w:hint="eastAsia"/>
                <w:szCs w:val="21"/>
              </w:rPr>
              <w:t>2.10</w:t>
            </w:r>
          </w:p>
        </w:tc>
        <w:tc>
          <w:tcPr>
            <w:tcW w:w="8068" w:type="dxa"/>
            <w:vAlign w:val="center"/>
          </w:tcPr>
          <w:p w:rsidR="00FC6CC1" w:rsidRDefault="00891AD1">
            <w:pPr>
              <w:rPr>
                <w:rFonts w:ascii="楷体" w:eastAsia="楷体" w:hAnsi="楷体" w:cs="楷体"/>
                <w:szCs w:val="21"/>
              </w:rPr>
            </w:pPr>
            <w:r>
              <w:rPr>
                <w:rFonts w:ascii="楷体" w:eastAsia="楷体" w:hAnsi="楷体" w:cs="楷体" w:hint="eastAsia"/>
                <w:bCs/>
                <w:szCs w:val="21"/>
              </w:rPr>
              <w:t>具有运动阈值检测功能</w:t>
            </w:r>
          </w:p>
        </w:tc>
      </w:tr>
      <w:tr w:rsidR="00FC6CC1">
        <w:tc>
          <w:tcPr>
            <w:tcW w:w="1110" w:type="dxa"/>
            <w:vAlign w:val="center"/>
          </w:tcPr>
          <w:p w:rsidR="00FC6CC1" w:rsidRDefault="00891AD1">
            <w:pPr>
              <w:jc w:val="center"/>
              <w:rPr>
                <w:rFonts w:ascii="楷体" w:eastAsia="楷体" w:hAnsi="楷体" w:cs="楷体"/>
                <w:szCs w:val="21"/>
              </w:rPr>
            </w:pPr>
            <w:r>
              <w:rPr>
                <w:rFonts w:ascii="楷体" w:eastAsia="楷体" w:hAnsi="楷体" w:cs="楷体" w:hint="eastAsia"/>
                <w:szCs w:val="21"/>
              </w:rPr>
              <w:t>2.11</w:t>
            </w:r>
          </w:p>
        </w:tc>
        <w:tc>
          <w:tcPr>
            <w:tcW w:w="8068" w:type="dxa"/>
            <w:vAlign w:val="center"/>
          </w:tcPr>
          <w:p w:rsidR="00FC6CC1" w:rsidRDefault="00891AD1">
            <w:pPr>
              <w:rPr>
                <w:rFonts w:ascii="楷体" w:eastAsia="楷体" w:hAnsi="楷体" w:cs="楷体"/>
                <w:szCs w:val="21"/>
              </w:rPr>
            </w:pPr>
            <w:r>
              <w:rPr>
                <w:rFonts w:ascii="楷体" w:eastAsia="楷体" w:hAnsi="楷体" w:cs="楷体" w:hint="eastAsia"/>
                <w:bCs/>
                <w:szCs w:val="21"/>
              </w:rPr>
              <w:t>刺激线圈</w:t>
            </w:r>
          </w:p>
        </w:tc>
      </w:tr>
      <w:tr w:rsidR="00FC6CC1">
        <w:tc>
          <w:tcPr>
            <w:tcW w:w="1110" w:type="dxa"/>
            <w:vAlign w:val="center"/>
          </w:tcPr>
          <w:p w:rsidR="00FC6CC1" w:rsidRDefault="00891AD1">
            <w:pPr>
              <w:jc w:val="center"/>
              <w:rPr>
                <w:rFonts w:ascii="楷体" w:eastAsia="楷体" w:hAnsi="楷体" w:cs="楷体"/>
                <w:szCs w:val="21"/>
              </w:rPr>
            </w:pPr>
            <w:r>
              <w:rPr>
                <w:rFonts w:ascii="楷体" w:eastAsia="楷体" w:hAnsi="楷体" w:cs="楷体" w:hint="eastAsia"/>
                <w:szCs w:val="21"/>
              </w:rPr>
              <w:t>2.12</w:t>
            </w:r>
          </w:p>
        </w:tc>
        <w:tc>
          <w:tcPr>
            <w:tcW w:w="8068" w:type="dxa"/>
            <w:vAlign w:val="center"/>
          </w:tcPr>
          <w:p w:rsidR="00FC6CC1" w:rsidRDefault="00891AD1">
            <w:pPr>
              <w:rPr>
                <w:rFonts w:ascii="楷体" w:eastAsia="楷体" w:hAnsi="楷体" w:cs="楷体"/>
                <w:szCs w:val="21"/>
              </w:rPr>
            </w:pPr>
            <w:r>
              <w:rPr>
                <w:rFonts w:ascii="楷体" w:eastAsia="楷体" w:hAnsi="楷体" w:cs="楷体" w:hint="eastAsia"/>
                <w:bCs/>
                <w:szCs w:val="21"/>
              </w:rPr>
              <w:t>具有普通线圈及精确治疗线圈</w:t>
            </w:r>
          </w:p>
        </w:tc>
      </w:tr>
      <w:tr w:rsidR="00FC6CC1">
        <w:tc>
          <w:tcPr>
            <w:tcW w:w="1110" w:type="dxa"/>
            <w:vAlign w:val="center"/>
          </w:tcPr>
          <w:p w:rsidR="00FC6CC1" w:rsidRDefault="00891AD1">
            <w:pPr>
              <w:jc w:val="center"/>
              <w:rPr>
                <w:rFonts w:ascii="楷体" w:eastAsia="楷体" w:hAnsi="楷体" w:cs="楷体"/>
                <w:szCs w:val="21"/>
              </w:rPr>
            </w:pPr>
            <w:r>
              <w:rPr>
                <w:rFonts w:ascii="楷体" w:eastAsia="楷体" w:hAnsi="楷体" w:cs="楷体" w:hint="eastAsia"/>
                <w:szCs w:val="21"/>
              </w:rPr>
              <w:t>2.13</w:t>
            </w:r>
          </w:p>
        </w:tc>
        <w:tc>
          <w:tcPr>
            <w:tcW w:w="8068" w:type="dxa"/>
            <w:vAlign w:val="center"/>
          </w:tcPr>
          <w:p w:rsidR="00FC6CC1" w:rsidRDefault="00891AD1">
            <w:pPr>
              <w:rPr>
                <w:rFonts w:ascii="楷体" w:eastAsia="楷体" w:hAnsi="楷体" w:cs="楷体"/>
                <w:szCs w:val="21"/>
              </w:rPr>
            </w:pPr>
            <w:r>
              <w:rPr>
                <w:rFonts w:ascii="楷体" w:eastAsia="楷体" w:hAnsi="楷体" w:cs="楷体" w:hint="eastAsia"/>
                <w:bCs/>
                <w:szCs w:val="21"/>
              </w:rPr>
              <w:t>线圈冷却方式：动态惰性液态冷却</w:t>
            </w:r>
          </w:p>
        </w:tc>
      </w:tr>
      <w:tr w:rsidR="00FC6CC1">
        <w:tc>
          <w:tcPr>
            <w:tcW w:w="1110" w:type="dxa"/>
            <w:vAlign w:val="center"/>
          </w:tcPr>
          <w:p w:rsidR="00FC6CC1" w:rsidRDefault="00891AD1">
            <w:pPr>
              <w:jc w:val="center"/>
              <w:rPr>
                <w:rFonts w:ascii="楷体" w:eastAsia="楷体" w:hAnsi="楷体" w:cs="楷体"/>
                <w:szCs w:val="21"/>
              </w:rPr>
            </w:pPr>
            <w:r>
              <w:rPr>
                <w:rFonts w:ascii="楷体" w:eastAsia="楷体" w:hAnsi="楷体" w:cs="楷体" w:hint="eastAsia"/>
                <w:szCs w:val="21"/>
              </w:rPr>
              <w:t>2.14</w:t>
            </w:r>
          </w:p>
        </w:tc>
        <w:tc>
          <w:tcPr>
            <w:tcW w:w="8068" w:type="dxa"/>
            <w:vAlign w:val="center"/>
          </w:tcPr>
          <w:p w:rsidR="00FC6CC1" w:rsidRDefault="00891AD1">
            <w:pPr>
              <w:rPr>
                <w:rFonts w:ascii="楷体" w:eastAsia="楷体" w:hAnsi="楷体" w:cs="楷体"/>
                <w:szCs w:val="21"/>
              </w:rPr>
            </w:pPr>
            <w:r>
              <w:rPr>
                <w:rFonts w:ascii="楷体" w:eastAsia="楷体" w:hAnsi="楷体" w:cs="楷体" w:hint="eastAsia"/>
                <w:bCs/>
                <w:szCs w:val="21"/>
              </w:rPr>
              <w:t>线圈具有超温提示及停止治疗功能</w:t>
            </w:r>
          </w:p>
        </w:tc>
      </w:tr>
      <w:tr w:rsidR="00FC6CC1">
        <w:tc>
          <w:tcPr>
            <w:tcW w:w="1110" w:type="dxa"/>
            <w:vAlign w:val="center"/>
          </w:tcPr>
          <w:p w:rsidR="00FC6CC1" w:rsidRDefault="00891AD1">
            <w:pPr>
              <w:jc w:val="center"/>
              <w:rPr>
                <w:rFonts w:ascii="楷体" w:eastAsia="楷体" w:hAnsi="楷体" w:cs="楷体"/>
                <w:szCs w:val="21"/>
              </w:rPr>
            </w:pPr>
            <w:r>
              <w:rPr>
                <w:rFonts w:ascii="楷体" w:eastAsia="楷体" w:hAnsi="楷体" w:cs="楷体" w:hint="eastAsia"/>
                <w:szCs w:val="21"/>
              </w:rPr>
              <w:t>2.15</w:t>
            </w:r>
          </w:p>
        </w:tc>
        <w:tc>
          <w:tcPr>
            <w:tcW w:w="8068" w:type="dxa"/>
            <w:vAlign w:val="center"/>
          </w:tcPr>
          <w:p w:rsidR="00FC6CC1" w:rsidRDefault="00891AD1">
            <w:pPr>
              <w:rPr>
                <w:rFonts w:ascii="楷体" w:eastAsia="楷体" w:hAnsi="楷体" w:cs="楷体"/>
                <w:szCs w:val="21"/>
              </w:rPr>
            </w:pPr>
            <w:r>
              <w:rPr>
                <w:rFonts w:ascii="楷体" w:eastAsia="楷体" w:hAnsi="楷体" w:cs="楷体" w:hint="eastAsia"/>
                <w:bCs/>
                <w:szCs w:val="21"/>
              </w:rPr>
              <w:t>计算机工作站</w:t>
            </w:r>
          </w:p>
        </w:tc>
      </w:tr>
      <w:tr w:rsidR="00FC6CC1">
        <w:tc>
          <w:tcPr>
            <w:tcW w:w="1110" w:type="dxa"/>
            <w:vAlign w:val="center"/>
          </w:tcPr>
          <w:p w:rsidR="00FC6CC1" w:rsidRDefault="00891AD1">
            <w:pPr>
              <w:jc w:val="center"/>
              <w:rPr>
                <w:rFonts w:ascii="楷体" w:eastAsia="楷体" w:hAnsi="楷体" w:cs="楷体"/>
                <w:szCs w:val="21"/>
              </w:rPr>
            </w:pPr>
            <w:r>
              <w:rPr>
                <w:rFonts w:ascii="楷体" w:eastAsia="楷体" w:hAnsi="楷体" w:cs="楷体" w:hint="eastAsia"/>
                <w:szCs w:val="21"/>
              </w:rPr>
              <w:t>2.16</w:t>
            </w:r>
          </w:p>
        </w:tc>
        <w:tc>
          <w:tcPr>
            <w:tcW w:w="8068" w:type="dxa"/>
            <w:vAlign w:val="center"/>
          </w:tcPr>
          <w:p w:rsidR="00FC6CC1" w:rsidRDefault="00891AD1">
            <w:pPr>
              <w:rPr>
                <w:rFonts w:ascii="楷体" w:eastAsia="楷体" w:hAnsi="楷体" w:cs="楷体"/>
                <w:szCs w:val="21"/>
              </w:rPr>
            </w:pPr>
            <w:r>
              <w:rPr>
                <w:rFonts w:ascii="楷体" w:eastAsia="楷体" w:hAnsi="楷体" w:cs="楷体" w:hint="eastAsia"/>
                <w:bCs/>
                <w:szCs w:val="21"/>
              </w:rPr>
              <w:t>专用计算机工作站，详细注明硬件配置</w:t>
            </w:r>
          </w:p>
        </w:tc>
      </w:tr>
      <w:tr w:rsidR="00FC6CC1">
        <w:tc>
          <w:tcPr>
            <w:tcW w:w="1110" w:type="dxa"/>
            <w:vAlign w:val="center"/>
          </w:tcPr>
          <w:p w:rsidR="00FC6CC1" w:rsidRDefault="00891AD1">
            <w:pPr>
              <w:jc w:val="center"/>
              <w:rPr>
                <w:rFonts w:ascii="楷体" w:eastAsia="楷体" w:hAnsi="楷体" w:cs="楷体"/>
                <w:szCs w:val="21"/>
              </w:rPr>
            </w:pPr>
            <w:r>
              <w:rPr>
                <w:rFonts w:ascii="楷体" w:eastAsia="楷体" w:hAnsi="楷体" w:cs="楷体" w:hint="eastAsia"/>
                <w:szCs w:val="21"/>
              </w:rPr>
              <w:t>2.17</w:t>
            </w:r>
          </w:p>
        </w:tc>
        <w:tc>
          <w:tcPr>
            <w:tcW w:w="8068" w:type="dxa"/>
            <w:vAlign w:val="center"/>
          </w:tcPr>
          <w:p w:rsidR="00FC6CC1" w:rsidRDefault="00891AD1">
            <w:pPr>
              <w:rPr>
                <w:rFonts w:ascii="楷体" w:eastAsia="楷体" w:hAnsi="楷体" w:cs="楷体"/>
                <w:szCs w:val="21"/>
              </w:rPr>
            </w:pPr>
            <w:r>
              <w:rPr>
                <w:rFonts w:ascii="楷体" w:eastAsia="楷体" w:hAnsi="楷体" w:cs="楷体" w:hint="eastAsia"/>
                <w:bCs/>
                <w:szCs w:val="21"/>
              </w:rPr>
              <w:t>具有单脉冲刺激、重复脉冲刺激和模式化刺激等模式</w:t>
            </w:r>
          </w:p>
        </w:tc>
      </w:tr>
      <w:tr w:rsidR="00FC6CC1">
        <w:tc>
          <w:tcPr>
            <w:tcW w:w="1110" w:type="dxa"/>
            <w:vAlign w:val="center"/>
          </w:tcPr>
          <w:p w:rsidR="00FC6CC1" w:rsidRDefault="00891AD1">
            <w:pPr>
              <w:jc w:val="center"/>
              <w:rPr>
                <w:rFonts w:ascii="楷体" w:eastAsia="楷体" w:hAnsi="楷体" w:cs="楷体"/>
                <w:szCs w:val="21"/>
              </w:rPr>
            </w:pPr>
            <w:r>
              <w:rPr>
                <w:rFonts w:ascii="楷体" w:eastAsia="楷体" w:hAnsi="楷体" w:cs="楷体" w:hint="eastAsia"/>
                <w:szCs w:val="21"/>
              </w:rPr>
              <w:t>2.18</w:t>
            </w:r>
          </w:p>
        </w:tc>
        <w:tc>
          <w:tcPr>
            <w:tcW w:w="8068" w:type="dxa"/>
            <w:vAlign w:val="center"/>
          </w:tcPr>
          <w:p w:rsidR="00FC6CC1" w:rsidRDefault="00891AD1">
            <w:pPr>
              <w:rPr>
                <w:rFonts w:ascii="楷体" w:eastAsia="楷体" w:hAnsi="楷体" w:cs="楷体"/>
                <w:szCs w:val="21"/>
              </w:rPr>
            </w:pPr>
            <w:r>
              <w:rPr>
                <w:rFonts w:ascii="楷体" w:eastAsia="楷体" w:hAnsi="楷体" w:cs="楷体" w:hint="eastAsia"/>
                <w:bCs/>
                <w:szCs w:val="21"/>
              </w:rPr>
              <w:t>具有脑卒中后障碍、抑郁症、失眠及神经性慢性疼痛等临床治疗方案</w:t>
            </w:r>
          </w:p>
        </w:tc>
      </w:tr>
      <w:tr w:rsidR="00FC6CC1">
        <w:tc>
          <w:tcPr>
            <w:tcW w:w="1110" w:type="dxa"/>
            <w:vAlign w:val="center"/>
          </w:tcPr>
          <w:p w:rsidR="00FC6CC1" w:rsidRDefault="00891AD1">
            <w:pPr>
              <w:jc w:val="center"/>
              <w:rPr>
                <w:rFonts w:ascii="楷体" w:eastAsia="楷体" w:hAnsi="楷体" w:cs="楷体"/>
                <w:szCs w:val="21"/>
              </w:rPr>
            </w:pPr>
            <w:r>
              <w:rPr>
                <w:rFonts w:ascii="楷体" w:eastAsia="楷体" w:hAnsi="楷体" w:cs="楷体" w:hint="eastAsia"/>
                <w:szCs w:val="21"/>
              </w:rPr>
              <w:t>2.19</w:t>
            </w:r>
          </w:p>
        </w:tc>
        <w:tc>
          <w:tcPr>
            <w:tcW w:w="8068" w:type="dxa"/>
            <w:vAlign w:val="center"/>
          </w:tcPr>
          <w:p w:rsidR="00FC6CC1" w:rsidRDefault="00891AD1">
            <w:pPr>
              <w:rPr>
                <w:rFonts w:ascii="楷体" w:eastAsia="楷体" w:hAnsi="楷体" w:cs="楷体"/>
                <w:szCs w:val="21"/>
              </w:rPr>
            </w:pPr>
            <w:r>
              <w:rPr>
                <w:rFonts w:ascii="楷体" w:eastAsia="楷体" w:hAnsi="楷体" w:cs="楷体" w:hint="eastAsia"/>
                <w:bCs/>
                <w:szCs w:val="21"/>
              </w:rPr>
              <w:t>具有治疗方案可自定义功能，可设定刺激强度、频率、脉冲个数、间歇时间等参数</w:t>
            </w:r>
          </w:p>
        </w:tc>
      </w:tr>
      <w:tr w:rsidR="00FC6CC1">
        <w:tc>
          <w:tcPr>
            <w:tcW w:w="1110" w:type="dxa"/>
            <w:vAlign w:val="center"/>
          </w:tcPr>
          <w:p w:rsidR="00FC6CC1" w:rsidRDefault="00891AD1">
            <w:pPr>
              <w:jc w:val="center"/>
              <w:rPr>
                <w:rFonts w:ascii="楷体" w:eastAsia="楷体" w:hAnsi="楷体" w:cs="楷体"/>
                <w:szCs w:val="21"/>
              </w:rPr>
            </w:pPr>
            <w:r>
              <w:rPr>
                <w:rFonts w:ascii="楷体" w:eastAsia="楷体" w:hAnsi="楷体" w:cs="楷体" w:hint="eastAsia"/>
                <w:szCs w:val="21"/>
              </w:rPr>
              <w:t>2.20</w:t>
            </w:r>
          </w:p>
        </w:tc>
        <w:tc>
          <w:tcPr>
            <w:tcW w:w="8068" w:type="dxa"/>
            <w:vAlign w:val="center"/>
          </w:tcPr>
          <w:p w:rsidR="00FC6CC1" w:rsidRDefault="00891AD1">
            <w:pPr>
              <w:rPr>
                <w:rFonts w:ascii="楷体" w:eastAsia="楷体" w:hAnsi="楷体" w:cs="楷体"/>
                <w:szCs w:val="21"/>
              </w:rPr>
            </w:pPr>
            <w:r>
              <w:rPr>
                <w:rFonts w:ascii="楷体" w:eastAsia="楷体" w:hAnsi="楷体" w:cs="楷体" w:hint="eastAsia"/>
                <w:bCs/>
                <w:szCs w:val="21"/>
              </w:rPr>
              <w:t>具有报告编辑、生成和打印输出功能</w:t>
            </w:r>
          </w:p>
        </w:tc>
      </w:tr>
      <w:tr w:rsidR="00FC6CC1">
        <w:tc>
          <w:tcPr>
            <w:tcW w:w="1110" w:type="dxa"/>
            <w:vAlign w:val="center"/>
          </w:tcPr>
          <w:p w:rsidR="00FC6CC1" w:rsidRDefault="00891AD1">
            <w:pPr>
              <w:jc w:val="center"/>
              <w:rPr>
                <w:rFonts w:ascii="楷体" w:eastAsia="楷体" w:hAnsi="楷体" w:cs="楷体"/>
                <w:szCs w:val="21"/>
              </w:rPr>
            </w:pPr>
            <w:r>
              <w:rPr>
                <w:rFonts w:ascii="楷体" w:eastAsia="楷体" w:hAnsi="楷体" w:cs="楷体" w:hint="eastAsia"/>
                <w:szCs w:val="21"/>
              </w:rPr>
              <w:t>2.21</w:t>
            </w:r>
          </w:p>
        </w:tc>
        <w:tc>
          <w:tcPr>
            <w:tcW w:w="8068" w:type="dxa"/>
            <w:vAlign w:val="center"/>
          </w:tcPr>
          <w:p w:rsidR="00FC6CC1" w:rsidRDefault="00891AD1">
            <w:pPr>
              <w:rPr>
                <w:rFonts w:ascii="楷体" w:eastAsia="楷体" w:hAnsi="楷体" w:cs="楷体"/>
                <w:szCs w:val="21"/>
              </w:rPr>
            </w:pPr>
            <w:r>
              <w:rPr>
                <w:rFonts w:ascii="楷体" w:eastAsia="楷体" w:hAnsi="楷体" w:cs="楷体" w:hint="eastAsia"/>
                <w:bCs/>
                <w:szCs w:val="21"/>
              </w:rPr>
              <w:t>具有报告存储、查询及导出等数据库管理功能</w:t>
            </w:r>
          </w:p>
        </w:tc>
      </w:tr>
      <w:tr w:rsidR="00FC6CC1">
        <w:tc>
          <w:tcPr>
            <w:tcW w:w="1110" w:type="dxa"/>
            <w:vAlign w:val="center"/>
          </w:tcPr>
          <w:p w:rsidR="00FC6CC1" w:rsidRDefault="00891AD1">
            <w:pPr>
              <w:jc w:val="center"/>
              <w:rPr>
                <w:rFonts w:ascii="楷体" w:eastAsia="楷体" w:hAnsi="楷体" w:cs="楷体"/>
                <w:szCs w:val="21"/>
              </w:rPr>
            </w:pPr>
            <w:r>
              <w:rPr>
                <w:rFonts w:ascii="楷体" w:eastAsia="楷体" w:hAnsi="楷体" w:cs="楷体" w:hint="eastAsia"/>
                <w:szCs w:val="21"/>
              </w:rPr>
              <w:t>2.22</w:t>
            </w:r>
          </w:p>
        </w:tc>
        <w:tc>
          <w:tcPr>
            <w:tcW w:w="8068" w:type="dxa"/>
            <w:vAlign w:val="center"/>
          </w:tcPr>
          <w:p w:rsidR="00FC6CC1" w:rsidRDefault="00891AD1">
            <w:pPr>
              <w:rPr>
                <w:rFonts w:ascii="楷体" w:eastAsia="楷体" w:hAnsi="楷体" w:cs="楷体"/>
                <w:szCs w:val="21"/>
              </w:rPr>
            </w:pPr>
            <w:r>
              <w:rPr>
                <w:rFonts w:ascii="楷体" w:eastAsia="楷体" w:hAnsi="楷体" w:cs="楷体" w:hint="eastAsia"/>
                <w:bCs/>
                <w:szCs w:val="21"/>
              </w:rPr>
              <w:t>科研分析功能：运动诱发电位，中枢传导时间、波幅、潜伏期等可在线实时分析</w:t>
            </w:r>
          </w:p>
        </w:tc>
      </w:tr>
      <w:tr w:rsidR="00FC6CC1">
        <w:tc>
          <w:tcPr>
            <w:tcW w:w="1110" w:type="dxa"/>
            <w:vAlign w:val="center"/>
          </w:tcPr>
          <w:p w:rsidR="00FC6CC1" w:rsidRDefault="00891AD1">
            <w:pPr>
              <w:jc w:val="center"/>
              <w:rPr>
                <w:rFonts w:ascii="楷体" w:eastAsia="楷体" w:hAnsi="楷体" w:cs="楷体"/>
                <w:szCs w:val="21"/>
              </w:rPr>
            </w:pPr>
            <w:r>
              <w:rPr>
                <w:rFonts w:ascii="楷体" w:eastAsia="楷体" w:hAnsi="楷体" w:cs="楷体" w:hint="eastAsia"/>
                <w:szCs w:val="21"/>
              </w:rPr>
              <w:t>2.23</w:t>
            </w:r>
          </w:p>
        </w:tc>
        <w:tc>
          <w:tcPr>
            <w:tcW w:w="8068" w:type="dxa"/>
            <w:vAlign w:val="center"/>
          </w:tcPr>
          <w:p w:rsidR="00FC6CC1" w:rsidRDefault="00891AD1">
            <w:pPr>
              <w:rPr>
                <w:rFonts w:ascii="楷体" w:eastAsia="楷体" w:hAnsi="楷体" w:cs="楷体"/>
                <w:szCs w:val="21"/>
              </w:rPr>
            </w:pPr>
            <w:r>
              <w:rPr>
                <w:rFonts w:ascii="楷体" w:eastAsia="楷体" w:hAnsi="楷体" w:cs="楷体" w:hint="eastAsia"/>
                <w:bCs/>
                <w:szCs w:val="21"/>
              </w:rPr>
              <w:t>投标商认为重要的其他参数</w:t>
            </w:r>
          </w:p>
        </w:tc>
      </w:tr>
      <w:tr w:rsidR="00FC6CC1">
        <w:tc>
          <w:tcPr>
            <w:tcW w:w="1110" w:type="dxa"/>
            <w:vAlign w:val="center"/>
          </w:tcPr>
          <w:p w:rsidR="00FC6CC1" w:rsidRDefault="00891AD1">
            <w:pPr>
              <w:jc w:val="center"/>
              <w:rPr>
                <w:rFonts w:ascii="楷体" w:eastAsia="楷体" w:hAnsi="楷体" w:cs="楷体"/>
                <w:szCs w:val="21"/>
              </w:rPr>
            </w:pPr>
            <w:r>
              <w:rPr>
                <w:rFonts w:ascii="楷体" w:eastAsia="楷体" w:hAnsi="楷体" w:cs="楷体" w:hint="eastAsia"/>
                <w:szCs w:val="21"/>
              </w:rPr>
              <w:t>3</w:t>
            </w:r>
          </w:p>
        </w:tc>
        <w:tc>
          <w:tcPr>
            <w:tcW w:w="8068" w:type="dxa"/>
            <w:vAlign w:val="center"/>
          </w:tcPr>
          <w:p w:rsidR="00FC6CC1" w:rsidRDefault="00891AD1">
            <w:pPr>
              <w:tabs>
                <w:tab w:val="left" w:pos="828"/>
                <w:tab w:val="left" w:pos="2268"/>
                <w:tab w:val="left" w:pos="3348"/>
                <w:tab w:val="left" w:pos="8028"/>
              </w:tabs>
              <w:rPr>
                <w:rFonts w:ascii="楷体" w:eastAsia="楷体" w:hAnsi="楷体" w:cs="楷体"/>
                <w:szCs w:val="21"/>
              </w:rPr>
            </w:pPr>
            <w:r>
              <w:rPr>
                <w:rFonts w:ascii="楷体" w:eastAsia="楷体" w:hAnsi="楷体" w:cs="楷体" w:hint="eastAsia"/>
                <w:bCs/>
                <w:szCs w:val="21"/>
              </w:rPr>
              <w:t>其他</w:t>
            </w:r>
          </w:p>
        </w:tc>
      </w:tr>
      <w:tr w:rsidR="00FC6CC1">
        <w:tc>
          <w:tcPr>
            <w:tcW w:w="1110" w:type="dxa"/>
            <w:vAlign w:val="center"/>
          </w:tcPr>
          <w:p w:rsidR="00FC6CC1" w:rsidRDefault="00891AD1">
            <w:pPr>
              <w:jc w:val="center"/>
              <w:rPr>
                <w:rFonts w:ascii="楷体" w:eastAsia="楷体" w:hAnsi="楷体" w:cs="楷体"/>
                <w:szCs w:val="21"/>
              </w:rPr>
            </w:pPr>
            <w:r>
              <w:rPr>
                <w:rFonts w:ascii="楷体" w:eastAsia="楷体" w:hAnsi="楷体" w:cs="楷体" w:hint="eastAsia"/>
                <w:szCs w:val="21"/>
              </w:rPr>
              <w:t>3.1</w:t>
            </w:r>
          </w:p>
        </w:tc>
        <w:tc>
          <w:tcPr>
            <w:tcW w:w="8068" w:type="dxa"/>
            <w:vAlign w:val="center"/>
          </w:tcPr>
          <w:p w:rsidR="00FC6CC1" w:rsidRDefault="00891AD1">
            <w:pPr>
              <w:rPr>
                <w:rFonts w:ascii="楷体" w:eastAsia="楷体" w:hAnsi="楷体" w:cs="楷体"/>
                <w:szCs w:val="21"/>
              </w:rPr>
            </w:pPr>
            <w:r>
              <w:rPr>
                <w:rFonts w:ascii="楷体" w:eastAsia="楷体" w:hAnsi="楷体" w:cs="楷体" w:hint="eastAsia"/>
              </w:rPr>
              <w:t>提供机器配件及各种消耗品的医院购买价格清单。</w:t>
            </w:r>
          </w:p>
        </w:tc>
      </w:tr>
      <w:tr w:rsidR="00FC6CC1">
        <w:tc>
          <w:tcPr>
            <w:tcW w:w="1110" w:type="dxa"/>
            <w:vAlign w:val="center"/>
          </w:tcPr>
          <w:p w:rsidR="00FC6CC1" w:rsidRDefault="00891AD1">
            <w:pPr>
              <w:jc w:val="center"/>
              <w:rPr>
                <w:rFonts w:ascii="楷体" w:eastAsia="楷体" w:hAnsi="楷体" w:cs="楷体"/>
                <w:szCs w:val="21"/>
              </w:rPr>
            </w:pPr>
            <w:r>
              <w:rPr>
                <w:rFonts w:ascii="楷体" w:eastAsia="楷体" w:hAnsi="楷体" w:cs="楷体" w:hint="eastAsia"/>
                <w:szCs w:val="21"/>
              </w:rPr>
              <w:t>3.2</w:t>
            </w:r>
          </w:p>
        </w:tc>
        <w:tc>
          <w:tcPr>
            <w:tcW w:w="8068" w:type="dxa"/>
            <w:vAlign w:val="center"/>
          </w:tcPr>
          <w:p w:rsidR="00FC6CC1" w:rsidRDefault="00891AD1">
            <w:pPr>
              <w:rPr>
                <w:rFonts w:ascii="楷体" w:eastAsia="楷体" w:hAnsi="楷体" w:cs="楷体"/>
                <w:szCs w:val="21"/>
              </w:rPr>
            </w:pPr>
            <w:r>
              <w:rPr>
                <w:rFonts w:ascii="楷体" w:eastAsia="楷体" w:hAnsi="楷体" w:cs="楷体" w:hint="eastAsia"/>
              </w:rPr>
              <w:t>合同期内消耗品单价</w:t>
            </w:r>
            <w:r>
              <w:rPr>
                <w:rFonts w:ascii="楷体" w:eastAsia="楷体" w:hAnsi="楷体" w:cs="楷体" w:hint="eastAsia"/>
                <w:bCs/>
                <w:szCs w:val="21"/>
              </w:rPr>
              <w:t>不高于浙江省或丽水市市政府集中采购中标价格及阳光采购最低价格。</w:t>
            </w:r>
          </w:p>
        </w:tc>
      </w:tr>
    </w:tbl>
    <w:p w:rsidR="00FC6CC1" w:rsidRDefault="00FC6CC1"/>
    <w:sectPr w:rsidR="00FC6CC1">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roma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IyOGUxNzYyODVlNWVmOWQxNzA1OGFiZTVmNTQ2MzgifQ=="/>
  </w:docVars>
  <w:rsids>
    <w:rsidRoot w:val="00172A27"/>
    <w:rsid w:val="00014451"/>
    <w:rsid w:val="00025057"/>
    <w:rsid w:val="00034BFE"/>
    <w:rsid w:val="000418E0"/>
    <w:rsid w:val="00041E39"/>
    <w:rsid w:val="0004393B"/>
    <w:rsid w:val="00051A84"/>
    <w:rsid w:val="00057B32"/>
    <w:rsid w:val="00064438"/>
    <w:rsid w:val="000654F0"/>
    <w:rsid w:val="0007442A"/>
    <w:rsid w:val="0009738D"/>
    <w:rsid w:val="000A646D"/>
    <w:rsid w:val="000C6BF3"/>
    <w:rsid w:val="000E758C"/>
    <w:rsid w:val="000F5A91"/>
    <w:rsid w:val="00114A56"/>
    <w:rsid w:val="00115E48"/>
    <w:rsid w:val="001175A2"/>
    <w:rsid w:val="001206E1"/>
    <w:rsid w:val="00135EAF"/>
    <w:rsid w:val="00137BA1"/>
    <w:rsid w:val="001426EE"/>
    <w:rsid w:val="00143E2D"/>
    <w:rsid w:val="00144E19"/>
    <w:rsid w:val="00147678"/>
    <w:rsid w:val="00172A27"/>
    <w:rsid w:val="001827F2"/>
    <w:rsid w:val="001B05D5"/>
    <w:rsid w:val="001B1044"/>
    <w:rsid w:val="001B74D2"/>
    <w:rsid w:val="001C4D7B"/>
    <w:rsid w:val="001C786E"/>
    <w:rsid w:val="001D0A51"/>
    <w:rsid w:val="001D5C20"/>
    <w:rsid w:val="001E586C"/>
    <w:rsid w:val="001E5E3F"/>
    <w:rsid w:val="001F0DEB"/>
    <w:rsid w:val="001F71A8"/>
    <w:rsid w:val="00200367"/>
    <w:rsid w:val="00200C17"/>
    <w:rsid w:val="00227574"/>
    <w:rsid w:val="0023022D"/>
    <w:rsid w:val="00232FB1"/>
    <w:rsid w:val="00252D1B"/>
    <w:rsid w:val="00253770"/>
    <w:rsid w:val="00260478"/>
    <w:rsid w:val="00263B79"/>
    <w:rsid w:val="002755C0"/>
    <w:rsid w:val="00284FBF"/>
    <w:rsid w:val="00295BF1"/>
    <w:rsid w:val="002962DE"/>
    <w:rsid w:val="00297A75"/>
    <w:rsid w:val="002C2510"/>
    <w:rsid w:val="002C74E2"/>
    <w:rsid w:val="002C7A7C"/>
    <w:rsid w:val="002D3A60"/>
    <w:rsid w:val="002F146C"/>
    <w:rsid w:val="002F517B"/>
    <w:rsid w:val="0030092A"/>
    <w:rsid w:val="003031C8"/>
    <w:rsid w:val="0032508A"/>
    <w:rsid w:val="00343903"/>
    <w:rsid w:val="0036168F"/>
    <w:rsid w:val="00363281"/>
    <w:rsid w:val="003652E6"/>
    <w:rsid w:val="00366E65"/>
    <w:rsid w:val="00372B85"/>
    <w:rsid w:val="003A1D4B"/>
    <w:rsid w:val="003A1DDA"/>
    <w:rsid w:val="003A40D4"/>
    <w:rsid w:val="003B0F04"/>
    <w:rsid w:val="003B3AB6"/>
    <w:rsid w:val="003B5DC1"/>
    <w:rsid w:val="003D249A"/>
    <w:rsid w:val="003D365A"/>
    <w:rsid w:val="003F2FE0"/>
    <w:rsid w:val="003F3C1D"/>
    <w:rsid w:val="003F748A"/>
    <w:rsid w:val="00400B28"/>
    <w:rsid w:val="00415C1F"/>
    <w:rsid w:val="00416FBD"/>
    <w:rsid w:val="004304A0"/>
    <w:rsid w:val="00434AD9"/>
    <w:rsid w:val="0044200B"/>
    <w:rsid w:val="00446825"/>
    <w:rsid w:val="00450EC4"/>
    <w:rsid w:val="0045738C"/>
    <w:rsid w:val="00463045"/>
    <w:rsid w:val="00467120"/>
    <w:rsid w:val="004706F4"/>
    <w:rsid w:val="00482D07"/>
    <w:rsid w:val="004845E7"/>
    <w:rsid w:val="00497461"/>
    <w:rsid w:val="004B2F05"/>
    <w:rsid w:val="004B46E1"/>
    <w:rsid w:val="004D7D37"/>
    <w:rsid w:val="004E4B3A"/>
    <w:rsid w:val="004F630D"/>
    <w:rsid w:val="004F77BC"/>
    <w:rsid w:val="00510C41"/>
    <w:rsid w:val="005116A4"/>
    <w:rsid w:val="00511AA7"/>
    <w:rsid w:val="00525653"/>
    <w:rsid w:val="00533DF8"/>
    <w:rsid w:val="0054690B"/>
    <w:rsid w:val="00557DE0"/>
    <w:rsid w:val="00580240"/>
    <w:rsid w:val="00580534"/>
    <w:rsid w:val="005874A7"/>
    <w:rsid w:val="005A2D89"/>
    <w:rsid w:val="005A438B"/>
    <w:rsid w:val="005C2481"/>
    <w:rsid w:val="005C4A4A"/>
    <w:rsid w:val="005D63B4"/>
    <w:rsid w:val="005E028A"/>
    <w:rsid w:val="005E09B7"/>
    <w:rsid w:val="005E33F5"/>
    <w:rsid w:val="005F07D1"/>
    <w:rsid w:val="00601F42"/>
    <w:rsid w:val="006072F4"/>
    <w:rsid w:val="0061758F"/>
    <w:rsid w:val="0062059A"/>
    <w:rsid w:val="00632532"/>
    <w:rsid w:val="006434A8"/>
    <w:rsid w:val="0064419F"/>
    <w:rsid w:val="006577E7"/>
    <w:rsid w:val="00674B32"/>
    <w:rsid w:val="006A0585"/>
    <w:rsid w:val="006B7878"/>
    <w:rsid w:val="006C3025"/>
    <w:rsid w:val="006C690F"/>
    <w:rsid w:val="006C72C0"/>
    <w:rsid w:val="006E79C7"/>
    <w:rsid w:val="00706478"/>
    <w:rsid w:val="00711B88"/>
    <w:rsid w:val="00720083"/>
    <w:rsid w:val="00740281"/>
    <w:rsid w:val="0074689E"/>
    <w:rsid w:val="00783481"/>
    <w:rsid w:val="007871AB"/>
    <w:rsid w:val="007A3B90"/>
    <w:rsid w:val="007B03D6"/>
    <w:rsid w:val="007E73FE"/>
    <w:rsid w:val="007F278A"/>
    <w:rsid w:val="007F3555"/>
    <w:rsid w:val="007F6B33"/>
    <w:rsid w:val="00804D6D"/>
    <w:rsid w:val="00807EB1"/>
    <w:rsid w:val="0081234A"/>
    <w:rsid w:val="00814071"/>
    <w:rsid w:val="00815C68"/>
    <w:rsid w:val="00820637"/>
    <w:rsid w:val="008235D5"/>
    <w:rsid w:val="00826133"/>
    <w:rsid w:val="008349F6"/>
    <w:rsid w:val="00837532"/>
    <w:rsid w:val="00847459"/>
    <w:rsid w:val="008554A3"/>
    <w:rsid w:val="008558C2"/>
    <w:rsid w:val="00872352"/>
    <w:rsid w:val="0087428A"/>
    <w:rsid w:val="00891AD1"/>
    <w:rsid w:val="008969AF"/>
    <w:rsid w:val="008A1ADE"/>
    <w:rsid w:val="008B5BA4"/>
    <w:rsid w:val="008D172C"/>
    <w:rsid w:val="008D1CFE"/>
    <w:rsid w:val="008D5062"/>
    <w:rsid w:val="008E375E"/>
    <w:rsid w:val="008F1671"/>
    <w:rsid w:val="00922C37"/>
    <w:rsid w:val="0092634F"/>
    <w:rsid w:val="00934DC1"/>
    <w:rsid w:val="00947E03"/>
    <w:rsid w:val="009674FE"/>
    <w:rsid w:val="00970850"/>
    <w:rsid w:val="00975259"/>
    <w:rsid w:val="0097589B"/>
    <w:rsid w:val="0099690F"/>
    <w:rsid w:val="00997B19"/>
    <w:rsid w:val="009A2003"/>
    <w:rsid w:val="009A7B65"/>
    <w:rsid w:val="009A7F9D"/>
    <w:rsid w:val="009B65E2"/>
    <w:rsid w:val="009C15B4"/>
    <w:rsid w:val="009C160A"/>
    <w:rsid w:val="009D1AB8"/>
    <w:rsid w:val="009D223C"/>
    <w:rsid w:val="009D2278"/>
    <w:rsid w:val="009D4B8A"/>
    <w:rsid w:val="00A04209"/>
    <w:rsid w:val="00A059A7"/>
    <w:rsid w:val="00A11781"/>
    <w:rsid w:val="00A1469B"/>
    <w:rsid w:val="00A24CB0"/>
    <w:rsid w:val="00A270B8"/>
    <w:rsid w:val="00A44CBC"/>
    <w:rsid w:val="00A450C5"/>
    <w:rsid w:val="00A52CDD"/>
    <w:rsid w:val="00A63879"/>
    <w:rsid w:val="00A83A81"/>
    <w:rsid w:val="00A856F5"/>
    <w:rsid w:val="00A86229"/>
    <w:rsid w:val="00A94A30"/>
    <w:rsid w:val="00AA3562"/>
    <w:rsid w:val="00AA7D5A"/>
    <w:rsid w:val="00AB12EA"/>
    <w:rsid w:val="00AB5B92"/>
    <w:rsid w:val="00AC073D"/>
    <w:rsid w:val="00AC497D"/>
    <w:rsid w:val="00B14444"/>
    <w:rsid w:val="00B214F2"/>
    <w:rsid w:val="00B33BBE"/>
    <w:rsid w:val="00B54E2D"/>
    <w:rsid w:val="00B57536"/>
    <w:rsid w:val="00B621F2"/>
    <w:rsid w:val="00B63345"/>
    <w:rsid w:val="00B72CBA"/>
    <w:rsid w:val="00B72E98"/>
    <w:rsid w:val="00B76CE7"/>
    <w:rsid w:val="00B87F9E"/>
    <w:rsid w:val="00BA357D"/>
    <w:rsid w:val="00BA63AB"/>
    <w:rsid w:val="00BD2D51"/>
    <w:rsid w:val="00BD36AE"/>
    <w:rsid w:val="00BD5A22"/>
    <w:rsid w:val="00BD7670"/>
    <w:rsid w:val="00BE3988"/>
    <w:rsid w:val="00BE3BB4"/>
    <w:rsid w:val="00BE6CFB"/>
    <w:rsid w:val="00BE6E99"/>
    <w:rsid w:val="00BE716F"/>
    <w:rsid w:val="00C055D7"/>
    <w:rsid w:val="00C1532E"/>
    <w:rsid w:val="00C2007D"/>
    <w:rsid w:val="00C31E2F"/>
    <w:rsid w:val="00C35C1D"/>
    <w:rsid w:val="00C41720"/>
    <w:rsid w:val="00C46D12"/>
    <w:rsid w:val="00C511B3"/>
    <w:rsid w:val="00C53DBF"/>
    <w:rsid w:val="00C53F0E"/>
    <w:rsid w:val="00C56FAA"/>
    <w:rsid w:val="00C60CDF"/>
    <w:rsid w:val="00C64B5A"/>
    <w:rsid w:val="00C80FBB"/>
    <w:rsid w:val="00C837CF"/>
    <w:rsid w:val="00C875A4"/>
    <w:rsid w:val="00CA2028"/>
    <w:rsid w:val="00CB2FA9"/>
    <w:rsid w:val="00CB6A14"/>
    <w:rsid w:val="00CD7174"/>
    <w:rsid w:val="00CE0146"/>
    <w:rsid w:val="00CE29BA"/>
    <w:rsid w:val="00CE6B3C"/>
    <w:rsid w:val="00CF562E"/>
    <w:rsid w:val="00D03E33"/>
    <w:rsid w:val="00D073DC"/>
    <w:rsid w:val="00D121AF"/>
    <w:rsid w:val="00D1314E"/>
    <w:rsid w:val="00D411F8"/>
    <w:rsid w:val="00D5496C"/>
    <w:rsid w:val="00D56653"/>
    <w:rsid w:val="00D678E8"/>
    <w:rsid w:val="00D75F94"/>
    <w:rsid w:val="00D81149"/>
    <w:rsid w:val="00DB0937"/>
    <w:rsid w:val="00DB1B8F"/>
    <w:rsid w:val="00DB5948"/>
    <w:rsid w:val="00DD09CA"/>
    <w:rsid w:val="00DD2D86"/>
    <w:rsid w:val="00DD6188"/>
    <w:rsid w:val="00DF1B1F"/>
    <w:rsid w:val="00E0414B"/>
    <w:rsid w:val="00E13B1E"/>
    <w:rsid w:val="00E145BE"/>
    <w:rsid w:val="00E21080"/>
    <w:rsid w:val="00E25BD6"/>
    <w:rsid w:val="00E26D17"/>
    <w:rsid w:val="00E46EB8"/>
    <w:rsid w:val="00E51FF9"/>
    <w:rsid w:val="00E72188"/>
    <w:rsid w:val="00E751DD"/>
    <w:rsid w:val="00E768CF"/>
    <w:rsid w:val="00EA04BF"/>
    <w:rsid w:val="00EA462B"/>
    <w:rsid w:val="00EB12EF"/>
    <w:rsid w:val="00EB56BC"/>
    <w:rsid w:val="00EC07F3"/>
    <w:rsid w:val="00EC2BC2"/>
    <w:rsid w:val="00EC4C38"/>
    <w:rsid w:val="00ED0C74"/>
    <w:rsid w:val="00ED3DB8"/>
    <w:rsid w:val="00EF1B93"/>
    <w:rsid w:val="00F1157C"/>
    <w:rsid w:val="00F240BA"/>
    <w:rsid w:val="00F37DCE"/>
    <w:rsid w:val="00F518B8"/>
    <w:rsid w:val="00F531C2"/>
    <w:rsid w:val="00F64213"/>
    <w:rsid w:val="00F71EBC"/>
    <w:rsid w:val="00F73569"/>
    <w:rsid w:val="00F845B4"/>
    <w:rsid w:val="00F97E3F"/>
    <w:rsid w:val="00FA3B82"/>
    <w:rsid w:val="00FB2DCB"/>
    <w:rsid w:val="00FC6CC1"/>
    <w:rsid w:val="00FD1F26"/>
    <w:rsid w:val="00FD4E8B"/>
    <w:rsid w:val="00FD5BB2"/>
    <w:rsid w:val="00FD7467"/>
    <w:rsid w:val="00FE0B68"/>
    <w:rsid w:val="00FE2AB9"/>
    <w:rsid w:val="00FE6379"/>
    <w:rsid w:val="00FE7F7F"/>
    <w:rsid w:val="00FF29F0"/>
    <w:rsid w:val="00FF3A87"/>
    <w:rsid w:val="00FF5BCB"/>
    <w:rsid w:val="0B33051B"/>
    <w:rsid w:val="0B6A394B"/>
    <w:rsid w:val="135E1E76"/>
    <w:rsid w:val="1A7C69D4"/>
    <w:rsid w:val="22554825"/>
    <w:rsid w:val="3DBE0122"/>
    <w:rsid w:val="3FB3141D"/>
    <w:rsid w:val="425C2686"/>
    <w:rsid w:val="43C8495D"/>
    <w:rsid w:val="46C95C3C"/>
    <w:rsid w:val="4AB5179B"/>
    <w:rsid w:val="4AFF47E8"/>
    <w:rsid w:val="4D8A7E85"/>
    <w:rsid w:val="5040743E"/>
    <w:rsid w:val="57DF2DD8"/>
    <w:rsid w:val="60003F04"/>
    <w:rsid w:val="65420B1A"/>
    <w:rsid w:val="6840351F"/>
    <w:rsid w:val="721D1C8A"/>
    <w:rsid w:val="72D24578"/>
    <w:rsid w:val="782F3180"/>
    <w:rsid w:val="7B695C10"/>
    <w:rsid w:val="7DF22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5:docId w15:val="{585EA55D-5A2B-4023-BDD8-A9A97A55A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59"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rPr>
  </w:style>
  <w:style w:type="paragraph" w:styleId="1">
    <w:name w:val="heading 1"/>
    <w:basedOn w:val="a"/>
    <w:next w:val="a"/>
    <w:qFormat/>
    <w:pPr>
      <w:spacing w:before="100" w:beforeAutospacing="1" w:after="100" w:afterAutospacing="1"/>
      <w:jc w:val="left"/>
      <w:outlineLvl w:val="0"/>
    </w:pPr>
    <w:rPr>
      <w:rFonts w:ascii="宋体" w:hAnsi="宋体"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正文（首行缩进2字符）"/>
    <w:basedOn w:val="a"/>
    <w:qFormat/>
    <w:pPr>
      <w:spacing w:line="360" w:lineRule="auto"/>
      <w:ind w:firstLineChars="200" w:firstLine="420"/>
    </w:pPr>
    <w:rPr>
      <w:szCs w:val="21"/>
    </w:rPr>
  </w:style>
  <w:style w:type="paragraph" w:styleId="a3">
    <w:name w:val="Body Text Indent"/>
    <w:basedOn w:val="a"/>
    <w:qFormat/>
    <w:pPr>
      <w:spacing w:line="360" w:lineRule="auto"/>
      <w:ind w:left="520"/>
    </w:pPr>
    <w:rPr>
      <w:rFonts w:ascii="宋体" w:hAnsi="宋体"/>
      <w:sz w:val="24"/>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0">
    <w:name w:val="Body Text First Indent 2"/>
    <w:basedOn w:val="a3"/>
    <w:uiPriority w:val="99"/>
    <w:unhideWhenUsed/>
    <w:qFormat/>
    <w:pPr>
      <w:ind w:left="0" w:firstLineChars="200" w:firstLine="420"/>
    </w:pPr>
    <w:rPr>
      <w:rFonts w:eastAsia="仿宋_GB2312"/>
      <w:spacing w:val="15"/>
      <w:kern w:val="10"/>
      <w:szCs w:val="24"/>
    </w:rPr>
  </w:style>
  <w:style w:type="table" w:styleId="a6">
    <w:name w:val="Table Grid"/>
    <w:basedOn w:val="a1"/>
    <w:uiPriority w:val="59"/>
    <w:qFormat/>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84D63-BB70-4274-BE21-82344B0C1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110</Words>
  <Characters>631</Characters>
  <Application>Microsoft Office Word</Application>
  <DocSecurity>0</DocSecurity>
  <Lines>5</Lines>
  <Paragraphs>1</Paragraphs>
  <ScaleCrop>false</ScaleCrop>
  <Company>Microsoft</Company>
  <LinksUpToDate>false</LinksUpToDate>
  <CharactersWithSpaces>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医疗设备采购流程规范</dc:title>
  <dc:creator>外网</dc:creator>
  <cp:lastModifiedBy>DZZHB</cp:lastModifiedBy>
  <cp:revision>6</cp:revision>
  <cp:lastPrinted>2021-03-17T03:06:00Z</cp:lastPrinted>
  <dcterms:created xsi:type="dcterms:W3CDTF">2022-09-05T06:47:00Z</dcterms:created>
  <dcterms:modified xsi:type="dcterms:W3CDTF">2022-09-05T09:04:00Z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64C7B0AE35B34BE3AF8676A7A323209F</vt:lpwstr>
  </property>
</Properties>
</file>